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89" w:type="dxa"/>
        <w:tblInd w:w="108" w:type="dxa"/>
        <w:tblLayout w:type="fixed"/>
        <w:tblLook w:val="01E0" w:firstRow="1" w:lastRow="1" w:firstColumn="1" w:lastColumn="1" w:noHBand="0" w:noVBand="0"/>
      </w:tblPr>
      <w:tblGrid>
        <w:gridCol w:w="9189"/>
      </w:tblGrid>
      <w:tr w:rsidR="00E704B2" w:rsidRPr="00B21EA7" w14:paraId="3CC232BA" w14:textId="77777777" w:rsidTr="001F66AA">
        <w:trPr>
          <w:trHeight w:val="9499"/>
        </w:trPr>
        <w:tc>
          <w:tcPr>
            <w:tcW w:w="9189" w:type="dxa"/>
            <w:shd w:val="clear" w:color="auto" w:fill="auto"/>
          </w:tcPr>
          <w:p w14:paraId="61EC6446" w14:textId="77777777" w:rsidR="00E704B2" w:rsidRPr="00E704B2" w:rsidRDefault="00E704B2" w:rsidP="001F66AA">
            <w:pPr>
              <w:spacing w:before="120" w:after="120" w:line="276" w:lineRule="auto"/>
              <w:rPr>
                <w:rFonts w:ascii="Arial" w:hAnsi="Arial" w:cs="Times New Roman"/>
                <w:b/>
                <w:sz w:val="32"/>
              </w:rPr>
            </w:pPr>
            <w:bookmarkStart w:id="0" w:name="_GoBack"/>
            <w:bookmarkEnd w:id="0"/>
          </w:p>
          <w:p w14:paraId="44CFB1F0" w14:textId="77777777" w:rsidR="00B05BE8" w:rsidRPr="00B05BE8" w:rsidRDefault="00E704B2" w:rsidP="00AD79C0">
            <w:pPr>
              <w:spacing w:before="120" w:after="120" w:line="276" w:lineRule="auto"/>
              <w:ind w:left="1134" w:hanging="1134"/>
              <w:jc w:val="center"/>
              <w:rPr>
                <w:rFonts w:cs="Times New Roman"/>
                <w:b/>
                <w:color w:val="0070C0"/>
                <w:sz w:val="72"/>
                <w:szCs w:val="72"/>
              </w:rPr>
            </w:pPr>
            <w:r>
              <w:rPr>
                <w:b/>
                <w:color w:val="0070C0"/>
                <w:sz w:val="72"/>
              </w:rPr>
              <w:t xml:space="preserve">TERMES DE RÉFÉRENCE </w:t>
            </w:r>
          </w:p>
          <w:p w14:paraId="6EEA1C3A" w14:textId="6F70C663" w:rsidR="00AD79C0" w:rsidRPr="00B05BE8" w:rsidRDefault="00E704B2" w:rsidP="001F66AA">
            <w:pPr>
              <w:spacing w:before="120" w:after="120" w:line="276" w:lineRule="auto"/>
              <w:ind w:left="35"/>
              <w:jc w:val="center"/>
              <w:rPr>
                <w:rFonts w:cs="Times New Roman"/>
                <w:b/>
                <w:sz w:val="48"/>
                <w:szCs w:val="48"/>
              </w:rPr>
            </w:pPr>
            <w:r>
              <w:rPr>
                <w:b/>
                <w:sz w:val="48"/>
              </w:rPr>
              <w:t>CONCERNANT L’ÉVALUATION EX ANTE</w:t>
            </w:r>
          </w:p>
          <w:p w14:paraId="2649C752" w14:textId="77777777" w:rsidR="00AD79C0" w:rsidRPr="00B05BE8" w:rsidRDefault="00E704B2" w:rsidP="001F66AA">
            <w:pPr>
              <w:spacing w:before="120" w:after="120" w:line="276" w:lineRule="auto"/>
              <w:ind w:left="35"/>
              <w:jc w:val="center"/>
              <w:rPr>
                <w:rFonts w:cs="Times New Roman"/>
                <w:b/>
                <w:sz w:val="40"/>
                <w:szCs w:val="40"/>
              </w:rPr>
            </w:pPr>
            <w:r>
              <w:rPr>
                <w:b/>
                <w:sz w:val="40"/>
              </w:rPr>
              <w:t xml:space="preserve">D’UNE ORGANISATION NON GOUVERNEMENTALE </w:t>
            </w:r>
          </w:p>
          <w:p w14:paraId="48FDF7C5" w14:textId="77777777" w:rsidR="00B974C8" w:rsidRDefault="006662FF" w:rsidP="001F66AA">
            <w:pPr>
              <w:spacing w:before="120" w:after="120" w:line="276" w:lineRule="auto"/>
              <w:ind w:left="35"/>
              <w:jc w:val="center"/>
              <w:rPr>
                <w:rFonts w:cs="Times New Roman"/>
                <w:b/>
                <w:sz w:val="40"/>
                <w:szCs w:val="40"/>
              </w:rPr>
            </w:pPr>
            <w:r>
              <w:rPr>
                <w:b/>
                <w:sz w:val="40"/>
              </w:rPr>
              <w:t xml:space="preserve">QUI SOUHAITE CONCLURE </w:t>
            </w:r>
          </w:p>
          <w:p w14:paraId="77705E24" w14:textId="6C60648A" w:rsidR="00E704B2" w:rsidRPr="00B05BE8" w:rsidRDefault="00E704B2" w:rsidP="001F66AA">
            <w:pPr>
              <w:spacing w:before="120" w:after="120" w:line="276" w:lineRule="auto"/>
              <w:ind w:left="35"/>
              <w:jc w:val="center"/>
              <w:rPr>
                <w:rFonts w:cs="Times New Roman"/>
                <w:b/>
                <w:sz w:val="40"/>
                <w:szCs w:val="40"/>
              </w:rPr>
            </w:pPr>
            <w:r>
              <w:rPr>
                <w:b/>
                <w:sz w:val="40"/>
              </w:rPr>
              <w:t>UN ACCORD-CADRE DE PARTENARIAT HUMANITAIRE</w:t>
            </w:r>
          </w:p>
          <w:p w14:paraId="08BCF80A" w14:textId="77777777" w:rsidR="00B974C8" w:rsidRDefault="00E704B2" w:rsidP="001F66AA">
            <w:pPr>
              <w:spacing w:before="120" w:after="120" w:line="276" w:lineRule="auto"/>
              <w:ind w:left="35"/>
              <w:jc w:val="center"/>
              <w:rPr>
                <w:rFonts w:cs="Times New Roman"/>
                <w:b/>
                <w:sz w:val="40"/>
                <w:szCs w:val="40"/>
              </w:rPr>
            </w:pPr>
            <w:r>
              <w:rPr>
                <w:b/>
                <w:sz w:val="40"/>
              </w:rPr>
              <w:t xml:space="preserve">AVEC LA COMMISSION EUROPÉENNE </w:t>
            </w:r>
          </w:p>
          <w:p w14:paraId="2CD8849D" w14:textId="6518F006" w:rsidR="00E704B2" w:rsidRPr="00C730E9" w:rsidRDefault="00E704B2" w:rsidP="001F66AA">
            <w:pPr>
              <w:spacing w:before="120" w:after="120" w:line="276" w:lineRule="auto"/>
              <w:ind w:left="35"/>
              <w:jc w:val="center"/>
              <w:rPr>
                <w:rFonts w:cs="Times New Roman"/>
                <w:b/>
                <w:sz w:val="40"/>
                <w:szCs w:val="40"/>
              </w:rPr>
            </w:pPr>
            <w:r>
              <w:rPr>
                <w:b/>
                <w:sz w:val="40"/>
              </w:rPr>
              <w:t>(REPRÉSENTÉE PAR LA DG ECHO)</w:t>
            </w:r>
          </w:p>
          <w:p w14:paraId="27AF2F70" w14:textId="3A3A45B5" w:rsidR="00B974C8" w:rsidRPr="00C730E9" w:rsidRDefault="00B974C8" w:rsidP="001F66AA">
            <w:pPr>
              <w:spacing w:before="120" w:after="120" w:line="276" w:lineRule="auto"/>
              <w:ind w:left="35"/>
              <w:jc w:val="center"/>
              <w:rPr>
                <w:rFonts w:cs="Times New Roman"/>
                <w:b/>
                <w:sz w:val="40"/>
                <w:szCs w:val="40"/>
                <w:u w:val="single"/>
              </w:rPr>
            </w:pPr>
            <w:r>
              <w:rPr>
                <w:b/>
                <w:sz w:val="40"/>
                <w:u w:val="single"/>
              </w:rPr>
              <w:t>DEMANDE D’ACP POUR 2021</w:t>
            </w:r>
          </w:p>
          <w:p w14:paraId="0964467E" w14:textId="77777777" w:rsidR="00E704B2" w:rsidRPr="00AD79C0" w:rsidRDefault="00E704B2" w:rsidP="00AD79C0">
            <w:pPr>
              <w:spacing w:before="120" w:after="120" w:line="276" w:lineRule="auto"/>
              <w:ind w:left="1134" w:hanging="1134"/>
              <w:jc w:val="center"/>
              <w:rPr>
                <w:rFonts w:cs="Times New Roman"/>
                <w:b/>
                <w:sz w:val="28"/>
                <w:szCs w:val="28"/>
              </w:rPr>
            </w:pPr>
          </w:p>
          <w:p w14:paraId="62D5BD0B" w14:textId="14ADCFC6" w:rsidR="00E704B2" w:rsidRPr="00E704B2" w:rsidRDefault="00E704B2" w:rsidP="001F66AA">
            <w:pPr>
              <w:spacing w:before="120" w:after="120" w:line="276" w:lineRule="auto"/>
              <w:ind w:left="1134" w:hanging="1134"/>
              <w:jc w:val="center"/>
              <w:rPr>
                <w:rFonts w:cs="Times New Roman"/>
                <w:sz w:val="32"/>
              </w:rPr>
            </w:pPr>
            <w:r>
              <w:rPr>
                <w:b/>
                <w:sz w:val="28"/>
              </w:rPr>
              <w:t>[NOM DE L’ORGANISATION NON GOUVERNEMENTALE]</w:t>
            </w:r>
          </w:p>
        </w:tc>
      </w:tr>
    </w:tbl>
    <w:p w14:paraId="0120DA59" w14:textId="77777777" w:rsidR="00E704B2" w:rsidRPr="00E704B2" w:rsidRDefault="00E704B2" w:rsidP="00E704B2">
      <w:pPr>
        <w:spacing w:before="120" w:after="120" w:line="240" w:lineRule="auto"/>
        <w:jc w:val="both"/>
        <w:rPr>
          <w:rFonts w:cs="Times New Roman"/>
          <w:b/>
          <w:sz w:val="28"/>
        </w:rPr>
      </w:pPr>
    </w:p>
    <w:tbl>
      <w:tblPr>
        <w:tblW w:w="9356" w:type="dxa"/>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56"/>
      </w:tblGrid>
      <w:tr w:rsidR="00E704B2" w:rsidRPr="00B21EA7" w14:paraId="78BAD3AB" w14:textId="77777777" w:rsidTr="00E704B2">
        <w:tc>
          <w:tcPr>
            <w:tcW w:w="9356" w:type="dxa"/>
            <w:shd w:val="clear" w:color="auto" w:fill="auto"/>
          </w:tcPr>
          <w:p w14:paraId="59F4D794" w14:textId="77777777" w:rsidR="00E704B2" w:rsidRPr="00E704B2" w:rsidRDefault="00E704B2" w:rsidP="00E704B2">
            <w:pPr>
              <w:keepLines/>
              <w:spacing w:before="120" w:after="120" w:line="240" w:lineRule="auto"/>
              <w:jc w:val="both"/>
              <w:rPr>
                <w:rFonts w:cs="Times New Roman"/>
                <w:sz w:val="20"/>
                <w:szCs w:val="20"/>
              </w:rPr>
            </w:pPr>
            <w:r>
              <w:rPr>
                <w:sz w:val="20"/>
              </w:rPr>
              <w:t>Organisation demandant l’évaluation:</w:t>
            </w:r>
            <w:r>
              <w:tab/>
            </w:r>
            <w:r>
              <w:tab/>
            </w:r>
            <w:r>
              <w:rPr>
                <w:sz w:val="20"/>
              </w:rPr>
              <w:t>[dénomination et adresse de l’organisation]</w:t>
            </w:r>
          </w:p>
          <w:p w14:paraId="20FF36FD" w14:textId="547CB797" w:rsidR="00E704B2" w:rsidRPr="00E704B2" w:rsidRDefault="00E704B2" w:rsidP="00E704B2">
            <w:pPr>
              <w:spacing w:before="120" w:after="120" w:line="240" w:lineRule="auto"/>
              <w:jc w:val="both"/>
              <w:rPr>
                <w:rFonts w:cs="Times New Roman"/>
                <w:sz w:val="20"/>
                <w:szCs w:val="20"/>
              </w:rPr>
            </w:pPr>
            <w:r>
              <w:rPr>
                <w:sz w:val="20"/>
              </w:rPr>
              <w:t>Pays:</w:t>
            </w:r>
            <w:r>
              <w:tab/>
            </w:r>
            <w:r>
              <w:tab/>
            </w:r>
            <w:r>
              <w:tab/>
            </w:r>
            <w:r>
              <w:tab/>
            </w:r>
            <w:r>
              <w:tab/>
            </w:r>
            <w:r w:rsidR="00B026E0">
              <w:t xml:space="preserve">            </w:t>
            </w:r>
            <w:r>
              <w:rPr>
                <w:sz w:val="20"/>
              </w:rPr>
              <w:t>[pays dans lequel l’organisation est établie]</w:t>
            </w:r>
          </w:p>
          <w:p w14:paraId="79ED42CD" w14:textId="27A06510" w:rsidR="00E704B2" w:rsidRPr="00E704B2" w:rsidRDefault="00E704B2" w:rsidP="00E704B2">
            <w:pPr>
              <w:keepLines/>
              <w:spacing w:before="120" w:after="120" w:line="240" w:lineRule="auto"/>
              <w:jc w:val="both"/>
              <w:rPr>
                <w:rFonts w:cs="Times New Roman"/>
                <w:sz w:val="20"/>
                <w:szCs w:val="20"/>
              </w:rPr>
            </w:pPr>
            <w:r>
              <w:rPr>
                <w:sz w:val="20"/>
              </w:rPr>
              <w:t>Référence / date de la demande de services:</w:t>
            </w:r>
            <w:r>
              <w:tab/>
            </w:r>
            <w:r>
              <w:tab/>
            </w:r>
            <w:r>
              <w:rPr>
                <w:sz w:val="20"/>
              </w:rPr>
              <w:t>[référence / date de la demande de services ou autre</w:t>
            </w:r>
          </w:p>
          <w:p w14:paraId="1E28A9D6" w14:textId="77777777" w:rsidR="00E704B2" w:rsidRPr="00E704B2" w:rsidRDefault="00E704B2" w:rsidP="00E704B2">
            <w:pPr>
              <w:keepLines/>
              <w:spacing w:before="120" w:after="120" w:line="240" w:lineRule="auto"/>
              <w:jc w:val="both"/>
              <w:rPr>
                <w:rFonts w:cs="Times New Roman"/>
                <w:sz w:val="20"/>
                <w:szCs w:val="20"/>
              </w:rPr>
            </w:pPr>
            <w:r>
              <w:tab/>
            </w:r>
            <w:r>
              <w:tab/>
            </w:r>
            <w:r>
              <w:tab/>
            </w:r>
            <w:r>
              <w:tab/>
            </w:r>
            <w:r>
              <w:tab/>
            </w:r>
            <w:r>
              <w:tab/>
            </w:r>
            <w:r>
              <w:rPr>
                <w:sz w:val="20"/>
              </w:rPr>
              <w:t>document équivalent délivré par l’organisation]</w:t>
            </w:r>
          </w:p>
          <w:p w14:paraId="190837DC" w14:textId="4BF626E7" w:rsidR="00E704B2" w:rsidRPr="00E704B2" w:rsidRDefault="00C07408" w:rsidP="00E704B2">
            <w:pPr>
              <w:keepLines/>
              <w:spacing w:before="120" w:after="120" w:line="240" w:lineRule="auto"/>
              <w:ind w:left="4282" w:hanging="4320"/>
              <w:jc w:val="both"/>
              <w:rPr>
                <w:rFonts w:cs="Times New Roman"/>
                <w:sz w:val="20"/>
                <w:szCs w:val="20"/>
              </w:rPr>
            </w:pPr>
            <w:r>
              <w:rPr>
                <w:sz w:val="20"/>
              </w:rPr>
              <w:t xml:space="preserve"> Période faisant l’objet de l’évaluation: </w:t>
            </w:r>
            <w:r>
              <w:tab/>
            </w:r>
            <w:r>
              <w:rPr>
                <w:sz w:val="20"/>
              </w:rPr>
              <w:t xml:space="preserve">[l’année (période de 12 mois) se terminant le jour des travaux sur le terrain (procédures </w:t>
            </w:r>
            <w:r>
              <w:rPr>
                <w:sz w:val="20"/>
                <w:u w:val="single"/>
              </w:rPr>
              <w:t>sur place</w:t>
            </w:r>
            <w:r>
              <w:rPr>
                <w:sz w:val="20"/>
              </w:rPr>
              <w:t xml:space="preserve">) de l’évaluation] </w:t>
            </w:r>
          </w:p>
          <w:p w14:paraId="6B53A07A" w14:textId="787C5688" w:rsidR="00E704B2" w:rsidRPr="00E704B2" w:rsidRDefault="00E704B2" w:rsidP="00E704B2">
            <w:pPr>
              <w:keepLines/>
              <w:spacing w:before="120" w:after="120" w:line="240" w:lineRule="auto"/>
              <w:ind w:left="4282" w:hanging="4282"/>
              <w:jc w:val="both"/>
              <w:rPr>
                <w:rFonts w:cs="Times New Roman"/>
                <w:sz w:val="20"/>
                <w:szCs w:val="20"/>
              </w:rPr>
            </w:pPr>
            <w:r>
              <w:rPr>
                <w:sz w:val="20"/>
              </w:rPr>
              <w:t>Date de début de l’évaluation:</w:t>
            </w:r>
            <w:r>
              <w:tab/>
            </w:r>
            <w:r>
              <w:rPr>
                <w:sz w:val="20"/>
              </w:rPr>
              <w:t xml:space="preserve">[date de début </w:t>
            </w:r>
            <w:r>
              <w:rPr>
                <w:sz w:val="20"/>
                <w:u w:val="single"/>
              </w:rPr>
              <w:t>indicative</w:t>
            </w:r>
            <w:r>
              <w:rPr>
                <w:sz w:val="20"/>
              </w:rPr>
              <w:t xml:space="preserve">; la date </w:t>
            </w:r>
            <w:r>
              <w:rPr>
                <w:sz w:val="20"/>
                <w:u w:val="single"/>
              </w:rPr>
              <w:t>contractuelle</w:t>
            </w:r>
            <w:r>
              <w:rPr>
                <w:sz w:val="20"/>
              </w:rPr>
              <w:t xml:space="preserve"> </w:t>
            </w:r>
            <w:r>
              <w:rPr>
                <w:sz w:val="20"/>
                <w:u w:val="single"/>
              </w:rPr>
              <w:t>prévue</w:t>
            </w:r>
            <w:r>
              <w:rPr>
                <w:sz w:val="20"/>
              </w:rPr>
              <w:t xml:space="preserve"> de l’évaluation (date du bon de commande)]</w:t>
            </w:r>
          </w:p>
          <w:p w14:paraId="024052F3" w14:textId="17EB2185" w:rsidR="00E704B2" w:rsidRPr="00E704B2" w:rsidRDefault="00E704B2" w:rsidP="00E704B2">
            <w:pPr>
              <w:keepLines/>
              <w:spacing w:before="120" w:after="120" w:line="240" w:lineRule="auto"/>
              <w:ind w:left="4282" w:hanging="4282"/>
              <w:jc w:val="both"/>
              <w:rPr>
                <w:rFonts w:ascii="Arial" w:hAnsi="Arial" w:cs="Arial"/>
                <w:sz w:val="18"/>
                <w:szCs w:val="18"/>
              </w:rPr>
            </w:pPr>
            <w:r>
              <w:rPr>
                <w:sz w:val="20"/>
              </w:rPr>
              <w:t>Date de fin de l’évaluation:</w:t>
            </w:r>
            <w:r>
              <w:tab/>
            </w:r>
            <w:r>
              <w:rPr>
                <w:sz w:val="20"/>
              </w:rPr>
              <w:t xml:space="preserve">[date de fin </w:t>
            </w:r>
            <w:r>
              <w:rPr>
                <w:sz w:val="20"/>
                <w:u w:val="single"/>
              </w:rPr>
              <w:t>indicative</w:t>
            </w:r>
            <w:r>
              <w:rPr>
                <w:sz w:val="20"/>
              </w:rPr>
              <w:t xml:space="preserve">; la date de réception </w:t>
            </w:r>
            <w:r>
              <w:rPr>
                <w:sz w:val="20"/>
                <w:u w:val="single"/>
              </w:rPr>
              <w:t>prévue</w:t>
            </w:r>
            <w:r>
              <w:rPr>
                <w:sz w:val="20"/>
              </w:rPr>
              <w:t xml:space="preserve"> du rapport final]</w:t>
            </w:r>
          </w:p>
        </w:tc>
      </w:tr>
    </w:tbl>
    <w:p w14:paraId="1EC912D2" w14:textId="6428A2BA" w:rsidR="00F445C0" w:rsidRPr="00C429D1" w:rsidRDefault="00C429D1" w:rsidP="001F66AA">
      <w:pPr>
        <w:pStyle w:val="Titolo"/>
      </w:pPr>
      <w:r>
        <w:rPr>
          <w:rFonts w:ascii="Times New Roman" w:hAnsi="Times New Roman"/>
          <w:sz w:val="32"/>
        </w:rPr>
        <w:lastRenderedPageBreak/>
        <w:t>TABLE DES MATIÈRES</w:t>
      </w:r>
    </w:p>
    <w:sdt>
      <w:sdtPr>
        <w:rPr>
          <w:rFonts w:ascii="Times New Roman" w:eastAsiaTheme="minorHAnsi" w:hAnsi="Times New Roman" w:cstheme="minorBidi"/>
          <w:color w:val="auto"/>
          <w:sz w:val="24"/>
          <w:szCs w:val="22"/>
        </w:rPr>
        <w:id w:val="1434256424"/>
        <w:docPartObj>
          <w:docPartGallery w:val="Table of Contents"/>
          <w:docPartUnique/>
        </w:docPartObj>
      </w:sdtPr>
      <w:sdtEndPr/>
      <w:sdtContent>
        <w:p w14:paraId="22E3D816" w14:textId="77777777" w:rsidR="00F445C0" w:rsidRDefault="00F445C0">
          <w:pPr>
            <w:pStyle w:val="Titolosommario"/>
          </w:pPr>
        </w:p>
        <w:p w14:paraId="19E576A5" w14:textId="15ED1DE3" w:rsidR="00F445C0" w:rsidRDefault="00F445C0" w:rsidP="005320E2">
          <w:pPr>
            <w:pStyle w:val="Sommario1"/>
            <w:spacing w:before="360"/>
            <w:rPr>
              <w:bCs/>
            </w:rPr>
          </w:pPr>
          <w:r>
            <w:rPr>
              <w:b/>
            </w:rPr>
            <w:t>TERMES DE RÉFÉRENCE DES AUDITEURS</w:t>
          </w:r>
          <w:r>
            <w:ptab w:relativeTo="margin" w:alignment="right" w:leader="dot"/>
          </w:r>
          <w:r>
            <w:t>3</w:t>
          </w:r>
        </w:p>
        <w:p w14:paraId="130569B1" w14:textId="2BFF1D70" w:rsidR="00F445C0" w:rsidRDefault="00F445C0" w:rsidP="00F445C0">
          <w:pPr>
            <w:pStyle w:val="Sommario2"/>
          </w:pPr>
          <w:r>
            <w:t>TERMES ET DÉFINITIONS</w:t>
          </w:r>
          <w:r>
            <w:ptab w:relativeTo="margin" w:alignment="right" w:leader="dot"/>
          </w:r>
          <w:r>
            <w:t>3</w:t>
          </w:r>
        </w:p>
        <w:p w14:paraId="51B4654B" w14:textId="75190B9B" w:rsidR="00F445C0" w:rsidRPr="00F445C0" w:rsidRDefault="00F445C0" w:rsidP="00F464AB">
          <w:pPr>
            <w:spacing w:after="0"/>
          </w:pPr>
          <w:r>
            <w:t xml:space="preserve">    CONDITIONS APPLICABLES AUX AUDITEURS</w:t>
          </w:r>
          <w:r>
            <w:ptab w:relativeTo="margin" w:alignment="right" w:leader="dot"/>
          </w:r>
          <w:r>
            <w:t>4</w:t>
          </w:r>
        </w:p>
        <w:p w14:paraId="109EDEB7" w14:textId="00F416DD" w:rsidR="00F445C0" w:rsidRDefault="00F445C0" w:rsidP="00F464AB">
          <w:pPr>
            <w:pStyle w:val="Sommario3"/>
          </w:pPr>
          <w:r>
            <w:t>1. Principes généraux</w:t>
          </w:r>
          <w:r>
            <w:ptab w:relativeTo="margin" w:alignment="right" w:leader="dot"/>
          </w:r>
          <w:r>
            <w:t>4</w:t>
          </w:r>
        </w:p>
        <w:p w14:paraId="39D2DE9C" w14:textId="6ECF0220" w:rsidR="00F445C0" w:rsidRDefault="00F445C0" w:rsidP="00F464AB">
          <w:pPr>
            <w:spacing w:before="120" w:after="120"/>
          </w:pPr>
          <w:r>
            <w:t xml:space="preserve">       2. Objectif et champ d’application</w:t>
          </w:r>
          <w:r>
            <w:ptab w:relativeTo="margin" w:alignment="right" w:leader="dot"/>
          </w:r>
          <w:r>
            <w:t>7</w:t>
          </w:r>
        </w:p>
        <w:p w14:paraId="69B2CF20" w14:textId="542CD70C" w:rsidR="00CD4797" w:rsidRDefault="00F445C0" w:rsidP="00F464AB">
          <w:pPr>
            <w:spacing w:before="120" w:after="120"/>
          </w:pPr>
          <w:r>
            <w:t xml:space="preserve">       3. Démarche adoptée et notation</w:t>
          </w:r>
          <w:r>
            <w:ptab w:relativeTo="margin" w:alignment="right" w:leader="dot"/>
          </w:r>
          <w:r w:rsidR="00664C17">
            <w:t>10</w:t>
          </w:r>
        </w:p>
        <w:p w14:paraId="0BC0F145" w14:textId="0CA673B6" w:rsidR="00F445C0" w:rsidRPr="00F445C0" w:rsidRDefault="00AD0EA2">
          <w:pPr>
            <w:spacing w:before="120" w:after="120"/>
          </w:pPr>
          <w:r>
            <w:t xml:space="preserve">       4. Procédures d’évaluation</w:t>
          </w:r>
          <w:r>
            <w:ptab w:relativeTo="margin" w:alignment="right" w:leader="dot"/>
          </w:r>
          <w:r w:rsidR="00C07B02">
            <w:t>11</w:t>
          </w:r>
        </w:p>
        <w:p w14:paraId="03F49419" w14:textId="376A4DE9" w:rsidR="00F445C0" w:rsidRDefault="00F445C0" w:rsidP="00F464AB">
          <w:pPr>
            <w:spacing w:before="120" w:after="120"/>
          </w:pPr>
          <w:r>
            <w:t xml:space="preserve">       5. Normes et orientations</w:t>
          </w:r>
          <w:r>
            <w:ptab w:relativeTo="margin" w:alignment="right" w:leader="dot"/>
          </w:r>
          <w:r w:rsidR="00175CEB">
            <w:t>18</w:t>
          </w:r>
        </w:p>
        <w:p w14:paraId="58E2471E" w14:textId="0617F81A" w:rsidR="00F445C0" w:rsidRDefault="00F445C0" w:rsidP="00F464AB">
          <w:pPr>
            <w:spacing w:before="120" w:after="120"/>
          </w:pPr>
          <w:r>
            <w:t xml:space="preserve">       6. Autres questions</w:t>
          </w:r>
          <w:r>
            <w:ptab w:relativeTo="margin" w:alignment="right" w:leader="dot"/>
          </w:r>
          <w:r w:rsidR="00AD3853">
            <w:t>22</w:t>
          </w:r>
        </w:p>
        <w:p w14:paraId="7BCF2109" w14:textId="07E01DB8" w:rsidR="00F445C0" w:rsidRDefault="00F445C0" w:rsidP="00F464AB">
          <w:pPr>
            <w:spacing w:before="120" w:after="120"/>
          </w:pPr>
          <w:r>
            <w:t xml:space="preserve">       7. Annexe</w:t>
          </w:r>
          <w:r>
            <w:ptab w:relativeTo="margin" w:alignment="right" w:leader="dot"/>
          </w:r>
          <w:r>
            <w:t>2</w:t>
          </w:r>
          <w:r w:rsidR="00AD3853">
            <w:t>3</w:t>
          </w:r>
        </w:p>
        <w:p w14:paraId="54335FFD" w14:textId="77777777" w:rsidR="00F445C0" w:rsidRDefault="00F445C0" w:rsidP="00F445C0"/>
        <w:p w14:paraId="51F6415B" w14:textId="77777777" w:rsidR="00F445C0" w:rsidRDefault="00F445C0" w:rsidP="00F445C0"/>
        <w:p w14:paraId="6F360EBB" w14:textId="77777777" w:rsidR="00F445C0" w:rsidRPr="00F445C0" w:rsidRDefault="001E7DC1" w:rsidP="00F445C0"/>
      </w:sdtContent>
    </w:sdt>
    <w:p w14:paraId="07E01180" w14:textId="77777777" w:rsidR="00E704B2" w:rsidRPr="00E704B2" w:rsidRDefault="00E704B2" w:rsidP="00E704B2">
      <w:pPr>
        <w:spacing w:before="120" w:after="120" w:line="240" w:lineRule="auto"/>
        <w:jc w:val="both"/>
        <w:rPr>
          <w:rFonts w:ascii="Arial" w:hAnsi="Arial" w:cs="Arial"/>
          <w:sz w:val="20"/>
        </w:rPr>
      </w:pPr>
    </w:p>
    <w:p w14:paraId="3A0C0ED4" w14:textId="77777777" w:rsidR="00E704B2" w:rsidRPr="00E704B2" w:rsidRDefault="00E704B2" w:rsidP="00E704B2">
      <w:pPr>
        <w:spacing w:before="120" w:after="120" w:line="240" w:lineRule="auto"/>
        <w:jc w:val="both"/>
        <w:rPr>
          <w:rFonts w:ascii="Arial" w:hAnsi="Arial" w:cs="Arial"/>
          <w:sz w:val="20"/>
        </w:rPr>
      </w:pPr>
    </w:p>
    <w:p w14:paraId="7BA19EBF" w14:textId="77777777" w:rsidR="00E704B2" w:rsidRPr="00E704B2" w:rsidRDefault="00E704B2" w:rsidP="00E704B2">
      <w:pPr>
        <w:shd w:val="clear" w:color="auto" w:fill="A6A6A6" w:themeFill="background1" w:themeFillShade="A6"/>
        <w:spacing w:before="120" w:after="120" w:line="240" w:lineRule="auto"/>
        <w:jc w:val="center"/>
        <w:rPr>
          <w:rFonts w:cs="Times New Roman"/>
          <w:b/>
        </w:rPr>
      </w:pPr>
      <w:r>
        <w:rPr>
          <w:b/>
        </w:rPr>
        <w:t>INSTRUCTIONS POUR L’UTILISATION DES PRÉSENTS TdR</w:t>
      </w:r>
    </w:p>
    <w:p w14:paraId="02540D63" w14:textId="77777777" w:rsidR="00E704B2" w:rsidRPr="00E704B2" w:rsidRDefault="00E704B2" w:rsidP="00E704B2">
      <w:pPr>
        <w:shd w:val="clear" w:color="auto" w:fill="A6A6A6" w:themeFill="background1" w:themeFillShade="A6"/>
        <w:spacing w:before="120" w:after="120" w:line="240" w:lineRule="auto"/>
        <w:jc w:val="center"/>
        <w:rPr>
          <w:rFonts w:cs="Times New Roman"/>
        </w:rPr>
      </w:pPr>
      <w:r>
        <w:t>Il convient d’en retirer toutes les instructions apparaissant en &lt;</w:t>
      </w:r>
      <w:r>
        <w:rPr>
          <w:i/>
        </w:rPr>
        <w:t>Italique</w:t>
      </w:r>
      <w:r>
        <w:t>&gt; sur fond gris.</w:t>
      </w:r>
    </w:p>
    <w:p w14:paraId="6D923626" w14:textId="77777777" w:rsidR="00E704B2" w:rsidRPr="00E704B2" w:rsidRDefault="00E704B2" w:rsidP="00E704B2">
      <w:pPr>
        <w:shd w:val="clear" w:color="auto" w:fill="A6A6A6" w:themeFill="background1" w:themeFillShade="A6"/>
        <w:spacing w:before="120" w:after="120" w:line="240" w:lineRule="auto"/>
        <w:jc w:val="center"/>
        <w:rPr>
          <w:rFonts w:cs="Times New Roman"/>
        </w:rPr>
      </w:pPr>
      <w:r>
        <w:t>Le texte et les formulations prévus par les présents termes de référence doivent être respectés en permanence et ne peuvent pas être modifiés.</w:t>
      </w:r>
    </w:p>
    <w:p w14:paraId="1D344FF0" w14:textId="77777777" w:rsidR="00E704B2" w:rsidRPr="00E704B2" w:rsidRDefault="00E704B2" w:rsidP="00E704B2">
      <w:pPr>
        <w:shd w:val="clear" w:color="auto" w:fill="A6A6A6" w:themeFill="background1" w:themeFillShade="A6"/>
        <w:spacing w:before="120" w:after="120" w:line="240" w:lineRule="auto"/>
        <w:jc w:val="center"/>
        <w:rPr>
          <w:rFonts w:cs="Times New Roman"/>
        </w:rPr>
      </w:pPr>
      <w:r>
        <w:t>Cette instruction doit être retirée des TdR.</w:t>
      </w:r>
    </w:p>
    <w:p w14:paraId="7AEB659A" w14:textId="77777777" w:rsidR="00E704B2" w:rsidRPr="00E704B2" w:rsidRDefault="00E704B2" w:rsidP="00E704B2">
      <w:pPr>
        <w:spacing w:after="200" w:line="276" w:lineRule="auto"/>
        <w:rPr>
          <w:rFonts w:eastAsiaTheme="majorEastAsia" w:cs="Times New Roman"/>
          <w:b/>
          <w:bCs/>
          <w:smallCaps/>
          <w:szCs w:val="28"/>
        </w:rPr>
      </w:pPr>
      <w:r>
        <w:br w:type="page"/>
      </w:r>
    </w:p>
    <w:p w14:paraId="33A5C6B9" w14:textId="0525A563" w:rsidR="00E704B2" w:rsidRPr="00B05BE8" w:rsidRDefault="00E704B2" w:rsidP="00B05BE8">
      <w:pPr>
        <w:pStyle w:val="Titolo"/>
        <w:rPr>
          <w:rFonts w:ascii="Times New Roman" w:eastAsiaTheme="minorHAnsi" w:hAnsi="Times New Roman" w:cs="Times New Roman"/>
          <w:color w:val="auto"/>
          <w:spacing w:val="0"/>
          <w:kern w:val="0"/>
          <w:sz w:val="40"/>
          <w:szCs w:val="40"/>
        </w:rPr>
      </w:pPr>
      <w:r>
        <w:rPr>
          <w:rFonts w:ascii="Times New Roman" w:hAnsi="Times New Roman"/>
          <w:sz w:val="40"/>
        </w:rPr>
        <w:lastRenderedPageBreak/>
        <w:t xml:space="preserve">TERMES DE RÉFÉRENCE </w:t>
      </w:r>
      <w:r w:rsidR="008C6FB5">
        <w:rPr>
          <w:rFonts w:ascii="Times New Roman" w:hAnsi="Times New Roman"/>
          <w:sz w:val="40"/>
        </w:rPr>
        <w:t>POUR L</w:t>
      </w:r>
      <w:r>
        <w:rPr>
          <w:rFonts w:ascii="Times New Roman" w:hAnsi="Times New Roman"/>
          <w:sz w:val="40"/>
        </w:rPr>
        <w:t>ES AUDITEURS</w:t>
      </w:r>
    </w:p>
    <w:p w14:paraId="79C571C2" w14:textId="77777777" w:rsidR="00E704B2" w:rsidRDefault="00E704B2" w:rsidP="00E704B2">
      <w:pPr>
        <w:spacing w:before="120" w:after="120" w:line="276" w:lineRule="auto"/>
        <w:jc w:val="both"/>
        <w:rPr>
          <w:rFonts w:cs="Times New Roman"/>
          <w:szCs w:val="24"/>
        </w:rPr>
      </w:pPr>
    </w:p>
    <w:p w14:paraId="26AA156A" w14:textId="46F05E1D" w:rsidR="00E704B2" w:rsidRDefault="00E704B2" w:rsidP="00E704B2">
      <w:pPr>
        <w:spacing w:before="120" w:after="120" w:line="276" w:lineRule="auto"/>
        <w:jc w:val="both"/>
        <w:rPr>
          <w:rFonts w:cs="Times New Roman"/>
          <w:szCs w:val="24"/>
        </w:rPr>
      </w:pPr>
      <w:r>
        <w:t xml:space="preserve">Le présent document expose les termes de référence (TdR) </w:t>
      </w:r>
      <w:r w:rsidR="008C6FB5">
        <w:t xml:space="preserve">suivants </w:t>
      </w:r>
      <w:r>
        <w:t>lesquels [</w:t>
      </w:r>
      <w:r>
        <w:rPr>
          <w:highlight w:val="yellow"/>
        </w:rPr>
        <w:t>dénomination et adresse de l’organisation</w:t>
      </w:r>
      <w:r>
        <w:t xml:space="preserve">] </w:t>
      </w:r>
      <w:r w:rsidR="008C6FB5">
        <w:t>consent à</w:t>
      </w:r>
      <w:r>
        <w:t xml:space="preserve"> confier à un auditeur la réalisation d’une évaluation de [</w:t>
      </w:r>
      <w:r>
        <w:rPr>
          <w:highlight w:val="yellow"/>
        </w:rPr>
        <w:t>dénomination de l’organisation</w:t>
      </w:r>
      <w:r>
        <w:t xml:space="preserve">] et l’établissement d’un rapport </w:t>
      </w:r>
      <w:r w:rsidR="008C6FB5">
        <w:t>de celle-ci</w:t>
      </w:r>
      <w:r>
        <w:t>. Les présents TdR sont annexés à [</w:t>
      </w:r>
      <w:r>
        <w:rPr>
          <w:highlight w:val="yellow"/>
        </w:rPr>
        <w:t>la demande de services ou au document équivalent</w:t>
      </w:r>
      <w:r>
        <w:t xml:space="preserve">] de l’organisation. Les TdR sont à l’usage de l’auditeur et de l’organisation. </w:t>
      </w:r>
    </w:p>
    <w:p w14:paraId="660459C0" w14:textId="77777777" w:rsidR="006841DB" w:rsidRPr="00E704B2" w:rsidRDefault="006841DB" w:rsidP="00E704B2">
      <w:pPr>
        <w:spacing w:before="120" w:after="120" w:line="276" w:lineRule="auto"/>
        <w:jc w:val="both"/>
        <w:rPr>
          <w:rFonts w:cs="Times New Roman"/>
          <w:szCs w:val="24"/>
        </w:rPr>
      </w:pPr>
    </w:p>
    <w:p w14:paraId="4FF3F736" w14:textId="77777777" w:rsidR="00E704B2" w:rsidRPr="00B05BE8" w:rsidRDefault="00E704B2" w:rsidP="006841DB">
      <w:pPr>
        <w:pStyle w:val="Sottotitolo"/>
        <w:rPr>
          <w:rStyle w:val="Enfasiintensa"/>
          <w:rFonts w:ascii="Times New Roman" w:hAnsi="Times New Roman" w:cs="Times New Roman"/>
          <w:bCs w:val="0"/>
          <w:i/>
          <w:iCs/>
          <w:sz w:val="32"/>
          <w:szCs w:val="32"/>
        </w:rPr>
      </w:pPr>
      <w:bookmarkStart w:id="1" w:name="_Toc11338485"/>
      <w:r>
        <w:rPr>
          <w:rStyle w:val="Enfasiintensa"/>
          <w:rFonts w:ascii="Times New Roman" w:hAnsi="Times New Roman"/>
          <w:i/>
          <w:sz w:val="32"/>
        </w:rPr>
        <w:t>TERMES ET DÉFINITIONS</w:t>
      </w:r>
      <w:bookmarkEnd w:id="1"/>
    </w:p>
    <w:p w14:paraId="5D5FB200" w14:textId="77777777" w:rsidR="00DC6E69" w:rsidRDefault="00E704B2" w:rsidP="005320E2">
      <w:pPr>
        <w:keepLines/>
        <w:spacing w:before="360" w:after="120" w:line="276" w:lineRule="auto"/>
        <w:jc w:val="both"/>
        <w:rPr>
          <w:rFonts w:cs="Times New Roman"/>
          <w:szCs w:val="24"/>
        </w:rPr>
      </w:pPr>
      <w:r>
        <w:t>Dans les présents TdR et dans l’</w:t>
      </w:r>
      <w:r>
        <w:rPr>
          <w:b/>
          <w:i/>
        </w:rPr>
        <w:t>annexe A</w:t>
      </w:r>
      <w:r>
        <w:t xml:space="preserve">, qui en fait intégralement partie, les termes suivants sont définis comme suit:  </w:t>
      </w:r>
    </w:p>
    <w:p w14:paraId="3B3C8C9B" w14:textId="15C5E78F" w:rsidR="00E704B2" w:rsidRDefault="00E704B2" w:rsidP="00DC6E69">
      <w:pPr>
        <w:pStyle w:val="Bullet0"/>
      </w:pPr>
      <w:r>
        <w:rPr>
          <w:i/>
        </w:rPr>
        <w:t>«Évaluation ex ante», «évaluation»</w:t>
      </w:r>
      <w:r>
        <w:t xml:space="preserve"> ou </w:t>
      </w:r>
      <w:r>
        <w:rPr>
          <w:i/>
        </w:rPr>
        <w:t>«mission»</w:t>
      </w:r>
      <w:r>
        <w:t xml:space="preserve"> désigne la présente mission d</w:t>
      </w:r>
      <w:r w:rsidR="00B348B6" w:rsidRPr="001F66AA">
        <w:rPr>
          <w:lang w:val="fr-BE"/>
        </w:rPr>
        <w:t>’ass</w:t>
      </w:r>
      <w:r w:rsidR="00B348B6">
        <w:rPr>
          <w:lang w:val="fr-BE"/>
        </w:rPr>
        <w:t>urance</w:t>
      </w:r>
      <w:r>
        <w:t>. L’évaluation porte sur deux ensembles de questions, à savoir les</w:t>
      </w:r>
      <w:r w:rsidR="0048437B">
        <w:t xml:space="preserve"> </w:t>
      </w:r>
      <w:r>
        <w:t xml:space="preserve">«exigences minimales» et les «critères d’aptitude supplémentaires». </w:t>
      </w:r>
    </w:p>
    <w:p w14:paraId="1CEAF1A6" w14:textId="4721370D" w:rsidR="0098622C" w:rsidRPr="00D81597" w:rsidRDefault="009F3648" w:rsidP="0098622C">
      <w:pPr>
        <w:pStyle w:val="Bullet0"/>
        <w:rPr>
          <w:szCs w:val="24"/>
        </w:rPr>
      </w:pPr>
      <w:r>
        <w:t xml:space="preserve">On entend par </w:t>
      </w:r>
      <w:r>
        <w:rPr>
          <w:i/>
        </w:rPr>
        <w:t>«évaluation»</w:t>
      </w:r>
      <w:r>
        <w:t xml:space="preserve"> un audit de conformité à réaliser en vertu de la norme ISAE 3000, telle que publiée par le Conseil des normes internationales d'audit et d'assurance (International Auditing and Assurance Standards Board - IAASB) de la fédération internationale des comptables (International Federation of Accountants - IFAC), et qui vise à fournir à la DG ECHO une assurance raisonnable que l’organisation non gouvernementale (ONG) est en mesure de satisfaire aux exigences détaillées à l’</w:t>
      </w:r>
      <w:r>
        <w:rPr>
          <w:b/>
          <w:i/>
        </w:rPr>
        <w:t>annexe 3</w:t>
      </w:r>
      <w:r>
        <w:t xml:space="preserve"> </w:t>
      </w:r>
      <w:r>
        <w:rPr>
          <w:i/>
        </w:rPr>
        <w:t>Questionnaire d’évaluation</w:t>
      </w:r>
      <w:r>
        <w:t>, figurant à l’</w:t>
      </w:r>
      <w:r>
        <w:rPr>
          <w:b/>
          <w:i/>
        </w:rPr>
        <w:t>annexe A</w:t>
      </w:r>
      <w:r>
        <w:rPr>
          <w:i/>
        </w:rPr>
        <w:t xml:space="preserve"> Rapport d’évaluation</w:t>
      </w:r>
      <w:r>
        <w:t>.</w:t>
      </w:r>
    </w:p>
    <w:p w14:paraId="05716E87" w14:textId="0E56C98C" w:rsidR="00E704B2" w:rsidRPr="00E704B2" w:rsidRDefault="00E704B2" w:rsidP="00EF2416">
      <w:pPr>
        <w:numPr>
          <w:ilvl w:val="0"/>
          <w:numId w:val="17"/>
        </w:numPr>
        <w:spacing w:before="120" w:after="120" w:line="240" w:lineRule="auto"/>
        <w:jc w:val="both"/>
        <w:rPr>
          <w:rFonts w:cs="Times New Roman"/>
          <w:szCs w:val="24"/>
        </w:rPr>
      </w:pPr>
      <w:r>
        <w:t>L’</w:t>
      </w:r>
      <w:r>
        <w:rPr>
          <w:i/>
        </w:rPr>
        <w:t>«auditeur»</w:t>
      </w:r>
      <w:r>
        <w:t xml:space="preserve"> désigne le cabinet d’audit chargé d’accomplir cette mission et de présenter un rapport à ce sujet à l’organisation. Le terme «auditeur» peut désigner la ou les personnes qui effectue(nt) l’évaluation, c’est-à-dire l’associé qui en assume la responsabilité ou les autres membres de l’équipe chargée de la mission d’audit. L’associé responsable de la mission est l’associé ou une autre personne du cabinet d’audit qui assume la responsabilité de la mission et du rapport émis au nom dudit cabinet et qui dispose de l’autorité nécessaire conférée par un organe professionnel, juridique ou réglementaire.</w:t>
      </w:r>
    </w:p>
    <w:p w14:paraId="6BA9E078" w14:textId="52FFE047" w:rsidR="00E704B2" w:rsidRDefault="00E704B2" w:rsidP="00EF2416">
      <w:pPr>
        <w:numPr>
          <w:ilvl w:val="0"/>
          <w:numId w:val="17"/>
        </w:numPr>
        <w:spacing w:before="120" w:after="120" w:line="240" w:lineRule="auto"/>
        <w:jc w:val="both"/>
        <w:rPr>
          <w:rFonts w:cs="Times New Roman"/>
          <w:szCs w:val="24"/>
        </w:rPr>
      </w:pPr>
      <w:r>
        <w:t xml:space="preserve">Le terme </w:t>
      </w:r>
      <w:r>
        <w:rPr>
          <w:i/>
        </w:rPr>
        <w:t>«organisation»</w:t>
      </w:r>
      <w:r>
        <w:t xml:space="preserve"> désigne l’organisation faisant l’objet de l’évaluation ex ante.</w:t>
      </w:r>
    </w:p>
    <w:p w14:paraId="21835701" w14:textId="2272AEFB" w:rsidR="009F3648" w:rsidRPr="00542D13" w:rsidRDefault="009F3648" w:rsidP="001A578F">
      <w:pPr>
        <w:pStyle w:val="Bullet0"/>
      </w:pPr>
      <w:r>
        <w:t xml:space="preserve">Le </w:t>
      </w:r>
      <w:r>
        <w:rPr>
          <w:i/>
        </w:rPr>
        <w:t>«responsable de l’évaluation de l’organisation»</w:t>
      </w:r>
      <w:r>
        <w:t xml:space="preserve"> est un cadre de l’organisation (</w:t>
      </w:r>
      <w:r w:rsidR="008C6FB5">
        <w:t>par exemple le</w:t>
      </w:r>
      <w:r>
        <w:t xml:space="preserve"> directeur, le directeur général ou le directeur des finances et de la comptabilité, par exemple) désigné par celle-ci pour gérer et coordonner l’évaluation au sein de l’organisation. Il est l</w:t>
      </w:r>
      <w:r w:rsidR="008C6FB5">
        <w:t>’interlocuteur</w:t>
      </w:r>
      <w:r>
        <w:t xml:space="preserve"> principal de l’auditeur, tel qu’indiqué à </w:t>
      </w:r>
      <w:r>
        <w:rPr>
          <w:b/>
          <w:i/>
        </w:rPr>
        <w:t>l’annexe 1</w:t>
      </w:r>
      <w:r>
        <w:t xml:space="preserve"> du rapport d’évaluation, intitulée </w:t>
      </w:r>
      <w:r>
        <w:rPr>
          <w:i/>
        </w:rPr>
        <w:t>Contexte de la mission – Informations essentielles</w:t>
      </w:r>
      <w:r>
        <w:t>.</w:t>
      </w:r>
    </w:p>
    <w:p w14:paraId="6F155AF8" w14:textId="6902F9A1" w:rsidR="00E704B2" w:rsidRPr="00E704B2" w:rsidRDefault="00E704B2" w:rsidP="00EF2416">
      <w:pPr>
        <w:numPr>
          <w:ilvl w:val="0"/>
          <w:numId w:val="17"/>
        </w:numPr>
        <w:spacing w:before="120" w:after="120" w:line="240" w:lineRule="auto"/>
        <w:jc w:val="both"/>
        <w:rPr>
          <w:rFonts w:cs="Times New Roman"/>
          <w:szCs w:val="24"/>
        </w:rPr>
      </w:pPr>
      <w:r>
        <w:lastRenderedPageBreak/>
        <w:t xml:space="preserve">La </w:t>
      </w:r>
      <w:r>
        <w:rPr>
          <w:i/>
        </w:rPr>
        <w:t>«Commission»</w:t>
      </w:r>
      <w:r>
        <w:t xml:space="preserve"> désigne la Commission européenne, représentée dans ce cas par la DG ECHO.</w:t>
      </w:r>
    </w:p>
    <w:p w14:paraId="214FD435" w14:textId="2C1CAD1B" w:rsidR="003A0582" w:rsidRPr="003A0582" w:rsidRDefault="00E704B2" w:rsidP="00EF2416">
      <w:pPr>
        <w:numPr>
          <w:ilvl w:val="0"/>
          <w:numId w:val="17"/>
        </w:numPr>
        <w:spacing w:before="120" w:after="120" w:line="240" w:lineRule="auto"/>
        <w:jc w:val="both"/>
        <w:rPr>
          <w:rFonts w:cs="Times New Roman"/>
          <w:snapToGrid w:val="0"/>
        </w:rPr>
      </w:pPr>
      <w:r>
        <w:t xml:space="preserve">Par </w:t>
      </w:r>
      <w:r>
        <w:rPr>
          <w:i/>
        </w:rPr>
        <w:t>«ACP»</w:t>
      </w:r>
      <w:r>
        <w:t xml:space="preserve"> on entend l’</w:t>
      </w:r>
      <w:r w:rsidR="00B348B6">
        <w:t>A</w:t>
      </w:r>
      <w:r>
        <w:t>ccord-</w:t>
      </w:r>
      <w:r w:rsidR="00B348B6">
        <w:t>C</w:t>
      </w:r>
      <w:r>
        <w:t xml:space="preserve">adre de </w:t>
      </w:r>
      <w:r w:rsidR="00B348B6">
        <w:t>P</w:t>
      </w:r>
      <w:r>
        <w:t>artenariat signé par la DG ECHO et l’organisation afin de solliciter des fonds européens dans le domaine de l’aide humanitaire.</w:t>
      </w:r>
    </w:p>
    <w:p w14:paraId="0E8CAF54" w14:textId="50FF139E" w:rsidR="00E704B2" w:rsidRPr="003A0582" w:rsidRDefault="00E704B2" w:rsidP="00EF2416">
      <w:pPr>
        <w:numPr>
          <w:ilvl w:val="0"/>
          <w:numId w:val="17"/>
        </w:numPr>
        <w:spacing w:before="120" w:after="120" w:line="240" w:lineRule="auto"/>
        <w:jc w:val="both"/>
        <w:rPr>
          <w:rFonts w:cs="Times New Roman"/>
          <w:snapToGrid w:val="0"/>
        </w:rPr>
      </w:pPr>
      <w:r>
        <w:t xml:space="preserve">Par organisation de </w:t>
      </w:r>
      <w:r>
        <w:rPr>
          <w:i/>
          <w:snapToGrid w:val="0"/>
        </w:rPr>
        <w:t>«niche»</w:t>
      </w:r>
      <w:r>
        <w:t>, on entend une organisation non gouvernementale autonome sans but lucratif qui fournit des capacités spécialisées à l’appui des opérations d’aide humanitaire (entreprises de cartographie, de déminage, de télécommunications ou de services de transport spécialisés, tels que des services de transport aérien humanitaire, par exemple). Si les capacités des organisations «de niche» sont en principe utilisées pour soutenir les opérations d’autres organisations humanitaires, elles peuvent également intervenir pour aider directement les personnes dans le besoin (comme dans le cas des opérations humanitaires de déminage par exemple). L’organisation de «niche» doit être dotée de sa propre expertise spécifique; l’expertise fournie par des organisations autres que l’organisation candidate ne sera pas prise en considération aux fins de l’évaluation de la capacité technique de l’organisation candidate.</w:t>
      </w:r>
    </w:p>
    <w:p w14:paraId="462ED43A" w14:textId="17E76A73" w:rsidR="00E704B2" w:rsidRPr="00E704B2" w:rsidRDefault="00E704B2" w:rsidP="00CA7CA9">
      <w:pPr>
        <w:pStyle w:val="Bullet0"/>
        <w:rPr>
          <w:szCs w:val="24"/>
        </w:rPr>
      </w:pPr>
      <w:r>
        <w:t xml:space="preserve">Un </w:t>
      </w:r>
      <w:r>
        <w:rPr>
          <w:i/>
        </w:rPr>
        <w:t>«partenaire programmatique»</w:t>
      </w:r>
      <w:r>
        <w:t xml:space="preserve"> est une organisation non gouvernementale autonome sans but lucratif avec laquelle la DG ECHO conclut un </w:t>
      </w:r>
      <w:r w:rsidR="00B348B6">
        <w:t>A</w:t>
      </w:r>
      <w:r>
        <w:t>ccord-</w:t>
      </w:r>
      <w:r w:rsidR="00B348B6">
        <w:t>C</w:t>
      </w:r>
      <w:r>
        <w:t xml:space="preserve">adre de </w:t>
      </w:r>
      <w:r w:rsidR="00B348B6">
        <w:t>P</w:t>
      </w:r>
      <w:r>
        <w:t xml:space="preserve">artenariat en vertu duquel des méthodes de travail innovantes sont encouragées. Les partenaires programmatiques titulaires d’un ACP valide seront sélectionnés ultérieurement </w:t>
      </w:r>
      <w:r w:rsidR="00241960">
        <w:t xml:space="preserve">selon </w:t>
      </w:r>
      <w:r>
        <w:t>une procédure spécifique.</w:t>
      </w:r>
    </w:p>
    <w:p w14:paraId="0D907D14" w14:textId="216DD47A" w:rsidR="00E704B2" w:rsidRPr="000533F8" w:rsidRDefault="00E704B2" w:rsidP="00EF2416">
      <w:pPr>
        <w:numPr>
          <w:ilvl w:val="0"/>
          <w:numId w:val="17"/>
        </w:numPr>
        <w:spacing w:before="120" w:after="120" w:line="240" w:lineRule="auto"/>
        <w:jc w:val="both"/>
        <w:rPr>
          <w:rFonts w:cs="Times New Roman"/>
          <w:szCs w:val="24"/>
        </w:rPr>
      </w:pPr>
      <w:r>
        <w:t xml:space="preserve">Les </w:t>
      </w:r>
      <w:r>
        <w:rPr>
          <w:b/>
          <w:i/>
        </w:rPr>
        <w:t>Annexes 1, 2, 3, 4A, 4B ou 5</w:t>
      </w:r>
      <w:r>
        <w:rPr>
          <w:i/>
        </w:rPr>
        <w:t xml:space="preserve"> </w:t>
      </w:r>
      <w:r>
        <w:t>auxquelles il est fait référence dans le texte sont les annexes à l’</w:t>
      </w:r>
      <w:r>
        <w:rPr>
          <w:b/>
          <w:i/>
        </w:rPr>
        <w:t xml:space="preserve">annexe A </w:t>
      </w:r>
      <w:r>
        <w:rPr>
          <w:i/>
        </w:rPr>
        <w:t xml:space="preserve">Rapport d’évaluation </w:t>
      </w:r>
      <w:r>
        <w:t>des termes de référence</w:t>
      </w:r>
      <w:r>
        <w:rPr>
          <w:i/>
        </w:rPr>
        <w:t xml:space="preserve">. </w:t>
      </w:r>
      <w:r>
        <w:t>Ces annexes doivent être complétées par l’auditeur et font partie intégrante du rapport d’évaluation.</w:t>
      </w:r>
    </w:p>
    <w:p w14:paraId="7B1B3118" w14:textId="77777777" w:rsidR="00E704B2" w:rsidRPr="00E704B2" w:rsidRDefault="00E704B2" w:rsidP="00E704B2">
      <w:pPr>
        <w:spacing w:before="120" w:after="120" w:line="276" w:lineRule="auto"/>
        <w:jc w:val="both"/>
        <w:rPr>
          <w:rFonts w:cs="Times New Roman"/>
        </w:rPr>
      </w:pPr>
    </w:p>
    <w:p w14:paraId="5D3754D6" w14:textId="6511193B" w:rsidR="00E704B2" w:rsidRPr="00B05BE8" w:rsidRDefault="00C729E5" w:rsidP="006841DB">
      <w:pPr>
        <w:pStyle w:val="Sottotitolo"/>
        <w:rPr>
          <w:rFonts w:ascii="Times New Roman" w:hAnsi="Times New Roman" w:cs="Times New Roman"/>
          <w:b/>
          <w:sz w:val="32"/>
          <w:szCs w:val="32"/>
        </w:rPr>
      </w:pPr>
      <w:bookmarkStart w:id="2" w:name="_Toc11338486"/>
      <w:r>
        <w:rPr>
          <w:rFonts w:ascii="Times New Roman" w:hAnsi="Times New Roman"/>
          <w:b/>
          <w:sz w:val="32"/>
        </w:rPr>
        <w:t>CONDITIONS APLICABLES AUX</w:t>
      </w:r>
      <w:r w:rsidR="0015153C">
        <w:rPr>
          <w:rFonts w:ascii="Times New Roman" w:hAnsi="Times New Roman"/>
          <w:b/>
          <w:sz w:val="32"/>
        </w:rPr>
        <w:t xml:space="preserve"> </w:t>
      </w:r>
      <w:r w:rsidR="00E704B2">
        <w:rPr>
          <w:rFonts w:ascii="Times New Roman" w:hAnsi="Times New Roman"/>
          <w:b/>
          <w:sz w:val="32"/>
        </w:rPr>
        <w:t>AUDITEURS</w:t>
      </w:r>
      <w:bookmarkEnd w:id="2"/>
    </w:p>
    <w:p w14:paraId="2EBE7DF8" w14:textId="77777777" w:rsidR="00E704B2" w:rsidRPr="00B05BE8" w:rsidRDefault="00E704B2" w:rsidP="0087798C">
      <w:pPr>
        <w:pStyle w:val="Titolo1"/>
        <w:rPr>
          <w:rFonts w:ascii="Times New Roman Bold" w:hAnsi="Times New Roman Bold"/>
          <w:caps/>
          <w:smallCaps w:val="0"/>
        </w:rPr>
      </w:pPr>
      <w:r>
        <w:rPr>
          <w:rFonts w:ascii="Times New Roman Bold" w:hAnsi="Times New Roman Bold"/>
          <w:caps/>
          <w:smallCaps w:val="0"/>
        </w:rPr>
        <w:t>Principes généraux</w:t>
      </w:r>
    </w:p>
    <w:p w14:paraId="6E179453" w14:textId="546AFD26" w:rsidR="00210AE8" w:rsidRPr="00210AE8" w:rsidRDefault="00E704B2" w:rsidP="00210AE8">
      <w:pPr>
        <w:spacing w:before="360" w:after="120" w:line="276" w:lineRule="auto"/>
        <w:jc w:val="both"/>
      </w:pPr>
      <w:r>
        <w:t xml:space="preserve">L’auditeur doit être un </w:t>
      </w:r>
      <w:r>
        <w:rPr>
          <w:b/>
        </w:rPr>
        <w:t>auditeur</w:t>
      </w:r>
      <w:r>
        <w:t xml:space="preserve"> </w:t>
      </w:r>
      <w:r>
        <w:rPr>
          <w:b/>
        </w:rPr>
        <w:t>externe</w:t>
      </w:r>
      <w:r>
        <w:t xml:space="preserve"> </w:t>
      </w:r>
      <w:r>
        <w:rPr>
          <w:b/>
        </w:rPr>
        <w:t>indépendant</w:t>
      </w:r>
      <w:r>
        <w:t xml:space="preserve"> membre d’un institut national de comptabilité ou d’audit et habilité à effectuer des audits. En souscrivant aux présents TdR, l’auditeur confirme qu’il remplit au moins l’une des conditions suivantes:</w:t>
      </w:r>
    </w:p>
    <w:p w14:paraId="19A22D17" w14:textId="77777777" w:rsidR="00210AE8" w:rsidRPr="00210AE8" w:rsidRDefault="00210AE8" w:rsidP="00210AE8">
      <w:pPr>
        <w:spacing w:before="360" w:after="120" w:line="276" w:lineRule="auto"/>
        <w:jc w:val="both"/>
      </w:pPr>
      <w:r>
        <w:t>•</w:t>
      </w:r>
      <w:r>
        <w:tab/>
        <w:t>L’auditeur et/ou le cabinet est membre d’un institut national de comptabilité ou d’audit, qui est, lui-même membre de la Fédération internationale des comptables (IFAC).</w:t>
      </w:r>
    </w:p>
    <w:p w14:paraId="7DA8856C" w14:textId="68CD69DA" w:rsidR="00210AE8" w:rsidRPr="00210AE8" w:rsidRDefault="00210AE8" w:rsidP="00210AE8">
      <w:pPr>
        <w:spacing w:before="360" w:after="120" w:line="276" w:lineRule="auto"/>
        <w:jc w:val="both"/>
      </w:pPr>
      <w:r>
        <w:t>•</w:t>
      </w:r>
      <w:r>
        <w:tab/>
        <w:t>L’auditeur et/ou le cabinet est membre d’un institut national de comptabilité ou d’audit et, bien que cet institut ne soit pas membre de l’IFAC, l’auditeur s’engage à exécuter la présente mission conformément aux normes de l’IFAC et à la déontologie exposée dans les présents TdR.</w:t>
      </w:r>
    </w:p>
    <w:p w14:paraId="318588A3" w14:textId="660DC821" w:rsidR="00210AE8" w:rsidRPr="00210AE8" w:rsidRDefault="00210AE8" w:rsidP="00210AE8">
      <w:pPr>
        <w:spacing w:before="360" w:after="120" w:line="276" w:lineRule="auto"/>
        <w:jc w:val="both"/>
      </w:pPr>
      <w:r>
        <w:lastRenderedPageBreak/>
        <w:t>•</w:t>
      </w:r>
      <w:r>
        <w:tab/>
        <w:t>L’auditeur et/ou le cabinet est inscrit comme contrôleur légal des comptes au registre public d’un organisme de supervision publique dans un État membre de l’Union européenne, conformément aux principes de supervision publique exposés dans la directive 2006/43/CE du Parlement européen et du Conseil (cette condition s’applique aux auditeurs et cabinets d’audit établis dans un État membre).</w:t>
      </w:r>
    </w:p>
    <w:p w14:paraId="5CF35FF8" w14:textId="62DFB9C8" w:rsidR="00E704B2" w:rsidRPr="00E704B2" w:rsidRDefault="0098622C" w:rsidP="00B05BE8">
      <w:pPr>
        <w:spacing w:before="360" w:after="120" w:line="276" w:lineRule="auto"/>
        <w:jc w:val="both"/>
        <w:rPr>
          <w:rFonts w:cs="Times New Roman"/>
          <w:szCs w:val="24"/>
        </w:rPr>
      </w:pPr>
      <w:r>
        <w:t>L’organisation a le droit de faire appel à ses propres contrôleurs légaux pour réaliser la mission.</w:t>
      </w:r>
    </w:p>
    <w:p w14:paraId="7FB594DE" w14:textId="68C3CAF4" w:rsidR="0098622C" w:rsidRDefault="00207592" w:rsidP="0098622C">
      <w:pPr>
        <w:spacing w:before="120" w:after="120" w:line="276" w:lineRule="auto"/>
        <w:jc w:val="both"/>
        <w:rPr>
          <w:rFonts w:cs="Times New Roman"/>
          <w:szCs w:val="24"/>
        </w:rPr>
      </w:pPr>
      <w:r>
        <w:t xml:space="preserve">L’auditeur doit être totalement indépendant de l’organisation concernée et, par conséquent, l’auditeur interne d’une organisation soumise à évaluation n’est pas habilité à effectuer cette évaluation. </w:t>
      </w:r>
    </w:p>
    <w:p w14:paraId="741CF870" w14:textId="186DCF53" w:rsidR="0098622C" w:rsidRPr="0098622C" w:rsidRDefault="0098622C" w:rsidP="0098622C">
      <w:pPr>
        <w:spacing w:before="120" w:after="120" w:line="276" w:lineRule="auto"/>
        <w:jc w:val="both"/>
        <w:rPr>
          <w:rFonts w:cs="Times New Roman"/>
          <w:szCs w:val="24"/>
        </w:rPr>
      </w:pPr>
      <w:r>
        <w:t>L’auditeur s’acquittera de sa mission conformément à la norme ISAE 3000 «Assurance Engagements other than Audits or Reviews of Historical Financial Information» (missions d’assurance autres que les missions d’audit ou d’examen limité d’informations financières historiques), telle que révisée et publiée par l’IAASB.</w:t>
      </w:r>
    </w:p>
    <w:p w14:paraId="1673E131" w14:textId="168E1C67" w:rsidR="0098622C" w:rsidRPr="0098622C" w:rsidRDefault="0098622C" w:rsidP="0098622C">
      <w:pPr>
        <w:spacing w:before="120" w:after="120" w:line="276" w:lineRule="auto"/>
        <w:jc w:val="both"/>
        <w:rPr>
          <w:rFonts w:cs="Times New Roman"/>
          <w:szCs w:val="24"/>
        </w:rPr>
      </w:pPr>
      <w:r>
        <w:t xml:space="preserve">Dans son rapport rédigé conformément aux présents TdR, l’auditeur doit confirmer qu’il a respecté les dispositions de la norme internationale de contrôle de la qualité (ISQC1) publiée par l’IAASB. </w:t>
      </w:r>
    </w:p>
    <w:p w14:paraId="21B96EE6" w14:textId="05CA4935" w:rsidR="00953E4E" w:rsidRPr="00D75B04" w:rsidRDefault="0098622C" w:rsidP="00D75B04">
      <w:pPr>
        <w:spacing w:before="120" w:after="120" w:line="276" w:lineRule="auto"/>
        <w:jc w:val="both"/>
        <w:rPr>
          <w:rFonts w:cs="Times New Roman"/>
          <w:szCs w:val="24"/>
        </w:rPr>
      </w:pPr>
      <w:r>
        <w:t>Dans son rapport, l’auditeur doit également confirmer qu’il s’est conformé au code de l’International Ethical Standards Board (IESBA) applicable aux comptables de l’IFAC.</w:t>
      </w:r>
    </w:p>
    <w:p w14:paraId="61E0351C" w14:textId="77777777" w:rsidR="00953E4E" w:rsidRPr="00953E4E" w:rsidRDefault="00953E4E" w:rsidP="00953E4E">
      <w:pPr>
        <w:spacing w:before="120" w:after="120" w:line="240" w:lineRule="auto"/>
        <w:jc w:val="both"/>
        <w:rPr>
          <w:rFonts w:cs="Times New Roman"/>
        </w:rPr>
      </w:pPr>
    </w:p>
    <w:p w14:paraId="71625EEB" w14:textId="77777777" w:rsidR="00083E47" w:rsidRPr="00083E47" w:rsidRDefault="00E704B2" w:rsidP="005320E2">
      <w:pPr>
        <w:pStyle w:val="Titolo2"/>
        <w:spacing w:after="360"/>
      </w:pPr>
      <w:r>
        <w:t>Qualifications, expérience et composition de l’équipe</w:t>
      </w:r>
    </w:p>
    <w:p w14:paraId="65E03EDA" w14:textId="77777777" w:rsidR="00E704B2" w:rsidRPr="00E704B2" w:rsidRDefault="00E704B2" w:rsidP="00DC6E69">
      <w:pPr>
        <w:pStyle w:val="Titolo3"/>
        <w:rPr>
          <w:snapToGrid w:val="0"/>
        </w:rPr>
      </w:pPr>
      <w:r>
        <w:t>Qualifications et expérience</w:t>
      </w:r>
    </w:p>
    <w:p w14:paraId="66D8172C" w14:textId="1ACC17A2" w:rsidR="00E704B2" w:rsidRPr="00E704B2" w:rsidRDefault="00E704B2" w:rsidP="00E704B2">
      <w:pPr>
        <w:keepLines/>
        <w:spacing w:before="120" w:after="120" w:line="276" w:lineRule="auto"/>
        <w:jc w:val="both"/>
        <w:rPr>
          <w:rFonts w:cs="Times New Roman"/>
          <w:snapToGrid w:val="0"/>
        </w:rPr>
      </w:pPr>
      <w:r>
        <w:t xml:space="preserve">L’auditeur emploiera un personnel adéquat possédant des qualifications professionnelles appropriées et </w:t>
      </w:r>
      <w:r w:rsidR="00D955EE">
        <w:t xml:space="preserve">ayant </w:t>
      </w:r>
      <w:r>
        <w:t xml:space="preserve">une expérience adéquate des normes de l’IFAC, en particulier de la norme ISAE 3000, </w:t>
      </w:r>
      <w:r w:rsidR="00D955EE">
        <w:t>ainsi qu’</w:t>
      </w:r>
      <w:r>
        <w:t>une expérience dans la réalisation d’audits institutionnels ou d’évaluations de conformité et/ou d’audits de</w:t>
      </w:r>
      <w:r w:rsidR="00D955EE">
        <w:t>s</w:t>
      </w:r>
      <w:r>
        <w:t xml:space="preserve"> systèmes ou de missions équivalentes </w:t>
      </w:r>
      <w:r w:rsidR="00D955EE">
        <w:t xml:space="preserve">auprès </w:t>
      </w:r>
      <w:r>
        <w:t xml:space="preserve">d’entités comparables en taille et en complexité, à l’organisation concernée. </w:t>
      </w:r>
    </w:p>
    <w:p w14:paraId="0AFDD4FF" w14:textId="77777777" w:rsidR="00E704B2" w:rsidRPr="00E704B2" w:rsidRDefault="00E704B2" w:rsidP="00E704B2">
      <w:pPr>
        <w:keepLines/>
        <w:spacing w:before="120" w:after="120" w:line="276" w:lineRule="auto"/>
        <w:jc w:val="both"/>
        <w:rPr>
          <w:rFonts w:cs="Times New Roman"/>
          <w:snapToGrid w:val="0"/>
        </w:rPr>
      </w:pPr>
      <w:r>
        <w:t>En outre, l’équipe de mission dans son ensemble doit avoir:</w:t>
      </w:r>
    </w:p>
    <w:p w14:paraId="46E0DE3A" w14:textId="77777777" w:rsidR="00E704B2" w:rsidRPr="00E704B2" w:rsidRDefault="00E704B2" w:rsidP="00EF2416">
      <w:pPr>
        <w:numPr>
          <w:ilvl w:val="0"/>
          <w:numId w:val="17"/>
        </w:numPr>
        <w:spacing w:before="120" w:after="120" w:line="240" w:lineRule="auto"/>
        <w:jc w:val="both"/>
        <w:rPr>
          <w:rFonts w:cs="Times New Roman"/>
          <w:snapToGrid w:val="0"/>
        </w:rPr>
      </w:pPr>
      <w:r>
        <w:t>une expérience en matière d’évaluations institutionnelles et de conformité et/ou d’audits de systèmes ou de missions équivalentes dans le cadre de programmes et de projets d’aide au développement financés par des institutions et des donateurs nationaux et/ou internationaux. Il est souhaitable que le chef de l’équipe sur le terrain, c’est-à-dire soit le directeur d’audit (catégorie 2) soit l’auditeur confirmé (catégorie 3), ait une expérience en matière d’audit des systèmes des actions d’aide extérieure financées par l’Union européenne et/ou d’audits institutionnels ou de conformité des organisations exerçant leur activité dans le secteur de l’aide au développement;</w:t>
      </w:r>
    </w:p>
    <w:p w14:paraId="3BBA3BA0" w14:textId="26D6DB37" w:rsidR="00E704B2" w:rsidRPr="00E704B2" w:rsidRDefault="001C0B9A" w:rsidP="00EF2416">
      <w:pPr>
        <w:numPr>
          <w:ilvl w:val="0"/>
          <w:numId w:val="17"/>
        </w:numPr>
        <w:spacing w:before="120" w:after="120" w:line="240" w:lineRule="auto"/>
        <w:jc w:val="both"/>
        <w:rPr>
          <w:rFonts w:cs="Times New Roman"/>
          <w:snapToGrid w:val="0"/>
          <w:szCs w:val="24"/>
        </w:rPr>
      </w:pPr>
      <w:r>
        <w:lastRenderedPageBreak/>
        <w:t>une très bonne maîtrise de l’anglais ou du français, langues utilisées par la Commission dans ses relations avec les partenaires ACP, en plus de [</w:t>
      </w:r>
      <w:r>
        <w:rPr>
          <w:i/>
          <w:snapToGrid w:val="0"/>
          <w:highlight w:val="yellow"/>
        </w:rPr>
        <w:t xml:space="preserve">toute langue officielle de </w:t>
      </w:r>
      <w:r w:rsidRPr="007F60C3">
        <w:rPr>
          <w:i/>
          <w:snapToGrid w:val="0"/>
          <w:highlight w:val="yellow"/>
        </w:rPr>
        <w:t>l’Union</w:t>
      </w:r>
      <w:r w:rsidR="00643B3D" w:rsidRPr="007F60C3">
        <w:rPr>
          <w:i/>
          <w:snapToGrid w:val="0"/>
          <w:highlight w:val="yellow"/>
        </w:rPr>
        <w:t xml:space="preserve"> </w:t>
      </w:r>
      <w:r w:rsidR="00643B3D" w:rsidRPr="001F66AA">
        <w:rPr>
          <w:i/>
          <w:highlight w:val="yellow"/>
        </w:rPr>
        <w:t>européenne</w:t>
      </w:r>
      <w:r w:rsidRPr="007F60C3">
        <w:rPr>
          <w:i/>
          <w:snapToGrid w:val="0"/>
          <w:highlight w:val="yellow"/>
        </w:rPr>
        <w:t xml:space="preserve"> choisie </w:t>
      </w:r>
      <w:r>
        <w:rPr>
          <w:i/>
          <w:snapToGrid w:val="0"/>
          <w:highlight w:val="yellow"/>
        </w:rPr>
        <w:t>par l’organisation</w:t>
      </w:r>
      <w:r>
        <w:t>].</w:t>
      </w:r>
    </w:p>
    <w:p w14:paraId="728E39D2" w14:textId="77777777" w:rsidR="00E704B2" w:rsidRPr="00E704B2" w:rsidRDefault="00E704B2" w:rsidP="00E704B2">
      <w:pPr>
        <w:keepLines/>
        <w:spacing w:before="120" w:after="120" w:line="276" w:lineRule="auto"/>
        <w:jc w:val="both"/>
        <w:rPr>
          <w:rFonts w:cs="Times New Roman"/>
          <w:b/>
          <w:i/>
          <w:snapToGrid w:val="0"/>
          <w:szCs w:val="24"/>
        </w:rPr>
      </w:pPr>
    </w:p>
    <w:p w14:paraId="554D1F2E" w14:textId="77777777" w:rsidR="00E704B2" w:rsidRPr="00E704B2" w:rsidRDefault="00E704B2" w:rsidP="00DC6E69">
      <w:pPr>
        <w:pStyle w:val="Titolo3"/>
        <w:rPr>
          <w:snapToGrid w:val="0"/>
        </w:rPr>
      </w:pPr>
      <w:r>
        <w:t>Composition de l’équipe</w:t>
      </w:r>
    </w:p>
    <w:p w14:paraId="7D9A26CC" w14:textId="558F812B" w:rsidR="000B03F9" w:rsidRPr="00E704B2" w:rsidRDefault="000B03F9" w:rsidP="000B03F9">
      <w:pPr>
        <w:keepLines/>
        <w:spacing w:before="120" w:after="120" w:line="276" w:lineRule="auto"/>
        <w:jc w:val="both"/>
        <w:rPr>
          <w:rFonts w:cs="Times New Roman"/>
          <w:snapToGrid w:val="0"/>
          <w:szCs w:val="24"/>
        </w:rPr>
      </w:pPr>
      <w:r>
        <w:t xml:space="preserve">La Commission distingue quatre catégories d’auditeurs, telles que détaillées ci-après. Ces catégories et les critères précisés doivent être considérés comme indicatifs, et non définitifs ou exhaustifs, </w:t>
      </w:r>
      <w:r w:rsidR="006617B4">
        <w:t xml:space="preserve">quant à </w:t>
      </w:r>
      <w:r>
        <w:t xml:space="preserve">la nature et </w:t>
      </w:r>
      <w:r w:rsidR="006617B4">
        <w:t xml:space="preserve">au </w:t>
      </w:r>
      <w:r>
        <w:t>type d’expérience nécessaire.</w:t>
      </w:r>
    </w:p>
    <w:p w14:paraId="0AB20526" w14:textId="2F0EF2D0" w:rsidR="00E704B2" w:rsidRPr="00E704B2" w:rsidRDefault="00E704B2" w:rsidP="00E704B2">
      <w:pPr>
        <w:keepLines/>
        <w:spacing w:before="120" w:after="120" w:line="276" w:lineRule="auto"/>
        <w:jc w:val="both"/>
        <w:rPr>
          <w:rFonts w:cs="Times New Roman"/>
          <w:snapToGrid w:val="0"/>
          <w:szCs w:val="24"/>
        </w:rPr>
      </w:pPr>
      <w:r>
        <w:t xml:space="preserve">L’équipe d’auditeurs nécessaire pour cette évaluation sera composée d’un auditeur de catégorie 1, assumant la responsabilité finale de l’évaluation et d’une équipe d’audit présentant une combinaison appropriée d’auditeurs de catégories 2 à 4. Il incombe à l’auditeur de proposer et </w:t>
      </w:r>
      <w:r w:rsidR="006617B4">
        <w:t xml:space="preserve">d’engager </w:t>
      </w:r>
      <w:r>
        <w:t>une équipe d’audit constituée de la combinaison d’auditeurs appropriée pour cette mission.</w:t>
      </w:r>
    </w:p>
    <w:p w14:paraId="3D23B855" w14:textId="77777777" w:rsidR="00E704B2" w:rsidRPr="00B05BE8" w:rsidRDefault="00E704B2" w:rsidP="00E704B2">
      <w:pPr>
        <w:keepLines/>
        <w:spacing w:before="120" w:after="120" w:line="276" w:lineRule="auto"/>
        <w:ind w:left="284" w:hanging="284"/>
        <w:jc w:val="both"/>
        <w:rPr>
          <w:rFonts w:cs="Times New Roman"/>
          <w:snapToGrid w:val="0"/>
          <w:szCs w:val="24"/>
          <w:u w:val="single"/>
        </w:rPr>
      </w:pPr>
      <w:r>
        <w:rPr>
          <w:snapToGrid w:val="0"/>
          <w:u w:val="single"/>
        </w:rPr>
        <w:t>Catégorie 1 – Associé d’audit</w:t>
      </w:r>
    </w:p>
    <w:p w14:paraId="688FAF85" w14:textId="784966C5" w:rsidR="001C0B9A" w:rsidRDefault="00E704B2" w:rsidP="00E704B2">
      <w:pPr>
        <w:keepLines/>
        <w:spacing w:before="120" w:after="120" w:line="276" w:lineRule="auto"/>
        <w:ind w:left="284"/>
        <w:jc w:val="both"/>
        <w:rPr>
          <w:rFonts w:cs="Times New Roman"/>
          <w:snapToGrid w:val="0"/>
          <w:szCs w:val="24"/>
        </w:rPr>
      </w:pPr>
      <w:r>
        <w:t>L’associé d’audit est un expert qualifié possédant les qualifications professionnelles nécessaires et qui assume des responsabilités de direction et de gestion dans le domaine de l’audit public. Il/elle est habilité(e) par l’organe de contrôle du cabinet d’audit à signer des rapports d’audit sur les états financiers réglementaires, conformément aux lois du pays dans lequel le cabinet d’audit est enregistré.</w:t>
      </w:r>
    </w:p>
    <w:p w14:paraId="169CC66F" w14:textId="0BED97B7" w:rsidR="00E704B2" w:rsidRPr="00E704B2" w:rsidRDefault="00E704B2" w:rsidP="00E704B2">
      <w:pPr>
        <w:keepLines/>
        <w:spacing w:before="120" w:after="120" w:line="276" w:lineRule="auto"/>
        <w:ind w:left="284"/>
        <w:jc w:val="both"/>
        <w:rPr>
          <w:rFonts w:cs="Times New Roman"/>
          <w:snapToGrid w:val="0"/>
          <w:szCs w:val="24"/>
        </w:rPr>
      </w:pPr>
      <w:r>
        <w:t xml:space="preserve">Cette personne devrait être membre d’un institut national de comptabilité ou d’audit, et compter au minimum 12 ans d’expérience professionnelle en qualité d’auditeur ou de comptable professionnel dans le domaine de l’audit public. </w:t>
      </w:r>
      <w:r w:rsidR="00B312F5">
        <w:t>Son expérience de travail auprès</w:t>
      </w:r>
      <w:r>
        <w:t xml:space="preserve"> des pays bénéficiaires de l’aide extérieure de l’Union européenne sera également </w:t>
      </w:r>
      <w:r w:rsidR="00B312F5">
        <w:t xml:space="preserve">un facteur </w:t>
      </w:r>
      <w:r>
        <w:t>pris en considération.</w:t>
      </w:r>
    </w:p>
    <w:p w14:paraId="17753D5C" w14:textId="3FB81E46" w:rsidR="00E704B2" w:rsidRPr="00953E4E" w:rsidRDefault="00E704B2" w:rsidP="00953E4E">
      <w:pPr>
        <w:keepLines/>
        <w:spacing w:before="120" w:after="120" w:line="276" w:lineRule="auto"/>
        <w:ind w:left="284"/>
        <w:jc w:val="both"/>
        <w:rPr>
          <w:rFonts w:cs="Times New Roman"/>
          <w:snapToGrid w:val="0"/>
          <w:szCs w:val="24"/>
        </w:rPr>
      </w:pPr>
      <w:r>
        <w:t>L’associé d’audit, ou toute autre personne assumant une fonction similaire à celle d’un associé, est la personne du cabinet d’audit qui est responsable de l’audit et de sa réalisation, ainsi que du rapport établi au nom du cabinet.</w:t>
      </w:r>
    </w:p>
    <w:p w14:paraId="07BFAC45" w14:textId="09EAC3B9" w:rsidR="00E704B2" w:rsidRPr="00B05BE8" w:rsidRDefault="00E704B2" w:rsidP="00E704B2">
      <w:pPr>
        <w:keepLines/>
        <w:spacing w:before="120" w:after="120" w:line="276" w:lineRule="auto"/>
        <w:ind w:left="284" w:hanging="284"/>
        <w:jc w:val="both"/>
        <w:rPr>
          <w:rFonts w:cs="Times New Roman"/>
          <w:snapToGrid w:val="0"/>
          <w:szCs w:val="24"/>
          <w:u w:val="single"/>
        </w:rPr>
      </w:pPr>
      <w:r>
        <w:rPr>
          <w:snapToGrid w:val="0"/>
          <w:u w:val="single"/>
        </w:rPr>
        <w:t>Catégorie 2 – </w:t>
      </w:r>
      <w:r w:rsidR="00A70EB9">
        <w:rPr>
          <w:snapToGrid w:val="0"/>
          <w:u w:val="single"/>
        </w:rPr>
        <w:t xml:space="preserve">Contrôler </w:t>
      </w:r>
      <w:r w:rsidR="00F9301A">
        <w:rPr>
          <w:snapToGrid w:val="0"/>
          <w:u w:val="single"/>
        </w:rPr>
        <w:t>d’audit</w:t>
      </w:r>
    </w:p>
    <w:p w14:paraId="5F408F3B" w14:textId="4A23C4FD" w:rsidR="00E704B2" w:rsidRPr="00E704B2" w:rsidRDefault="00252916" w:rsidP="00E704B2">
      <w:pPr>
        <w:keepLines/>
        <w:spacing w:before="120" w:after="120" w:line="276" w:lineRule="auto"/>
        <w:ind w:left="284"/>
        <w:jc w:val="both"/>
        <w:rPr>
          <w:rFonts w:cs="Times New Roman"/>
          <w:snapToGrid w:val="0"/>
          <w:szCs w:val="24"/>
        </w:rPr>
      </w:pPr>
      <w:r>
        <w:t xml:space="preserve">Les </w:t>
      </w:r>
      <w:r w:rsidR="00A70EB9">
        <w:t>contrôleurs</w:t>
      </w:r>
      <w:r w:rsidR="00B348B6">
        <w:t xml:space="preserve"> d’audit</w:t>
      </w:r>
      <w:r w:rsidR="00E704B2">
        <w:t xml:space="preserve"> </w:t>
      </w:r>
      <w:r>
        <w:t xml:space="preserve">sont des </w:t>
      </w:r>
      <w:r w:rsidR="00E704B2">
        <w:t>expert</w:t>
      </w:r>
      <w:r>
        <w:t>s</w:t>
      </w:r>
      <w:r w:rsidR="00E704B2">
        <w:t xml:space="preserve"> qualifié</w:t>
      </w:r>
      <w:r>
        <w:t>s</w:t>
      </w:r>
      <w:r w:rsidR="00E704B2">
        <w:t xml:space="preserve"> possédant les diplômes universitaires ou les qualifications professionnelles appropriées. Il</w:t>
      </w:r>
      <w:r>
        <w:t>s</w:t>
      </w:r>
      <w:r w:rsidR="00E704B2">
        <w:t xml:space="preserve"> </w:t>
      </w:r>
      <w:r>
        <w:t xml:space="preserve">doivent </w:t>
      </w:r>
      <w:r w:rsidR="00E704B2">
        <w:t xml:space="preserve">justifier d’un minimum de </w:t>
      </w:r>
      <w:r w:rsidR="00B348B6">
        <w:t>six</w:t>
      </w:r>
      <w:r w:rsidR="00E704B2">
        <w:t> années</w:t>
      </w:r>
      <w:r w:rsidR="00B348B6">
        <w:t xml:space="preserve"> </w:t>
      </w:r>
      <w:r w:rsidR="00E704B2">
        <w:t>d’expérience professionnelle en qualité d’auditeur ou de comptable professionnel dans le domaine de l’audit public et avoir une expérience de l’encadrement ou de la conduite d’une équipe d’audit.</w:t>
      </w:r>
    </w:p>
    <w:p w14:paraId="4AC3C52A" w14:textId="5948ECE2" w:rsidR="00E704B2" w:rsidRPr="00B05BE8" w:rsidRDefault="00E704B2" w:rsidP="00E704B2">
      <w:pPr>
        <w:keepLines/>
        <w:spacing w:before="120" w:after="120" w:line="276" w:lineRule="auto"/>
        <w:ind w:left="284" w:hanging="284"/>
        <w:jc w:val="both"/>
        <w:rPr>
          <w:rFonts w:cs="Times New Roman"/>
          <w:snapToGrid w:val="0"/>
          <w:szCs w:val="24"/>
          <w:u w:val="single"/>
        </w:rPr>
      </w:pPr>
      <w:r>
        <w:rPr>
          <w:snapToGrid w:val="0"/>
          <w:u w:val="single"/>
        </w:rPr>
        <w:t xml:space="preserve">Catégorie 3 – Auditeur </w:t>
      </w:r>
      <w:r w:rsidR="00B348B6">
        <w:rPr>
          <w:snapToGrid w:val="0"/>
          <w:u w:val="single"/>
        </w:rPr>
        <w:t>Senior</w:t>
      </w:r>
    </w:p>
    <w:p w14:paraId="536FCA54" w14:textId="2DD708B2" w:rsidR="00E704B2" w:rsidRDefault="00252916" w:rsidP="00E704B2">
      <w:pPr>
        <w:keepLines/>
        <w:spacing w:before="120" w:after="120" w:line="276" w:lineRule="auto"/>
        <w:ind w:left="284"/>
        <w:jc w:val="both"/>
      </w:pPr>
      <w:r>
        <w:t xml:space="preserve">Les </w:t>
      </w:r>
      <w:r w:rsidR="00E704B2">
        <w:t>auditeur</w:t>
      </w:r>
      <w:r>
        <w:t>s</w:t>
      </w:r>
      <w:r w:rsidR="00E704B2">
        <w:t xml:space="preserve"> confirmé</w:t>
      </w:r>
      <w:r>
        <w:t>s</w:t>
      </w:r>
      <w:r w:rsidR="00E704B2">
        <w:t xml:space="preserve"> </w:t>
      </w:r>
      <w:r>
        <w:t xml:space="preserve">sont des </w:t>
      </w:r>
      <w:r w:rsidR="00E704B2">
        <w:t>expert</w:t>
      </w:r>
      <w:r>
        <w:t>s</w:t>
      </w:r>
      <w:r w:rsidR="00E704B2">
        <w:t xml:space="preserve"> qualifié</w:t>
      </w:r>
      <w:r>
        <w:t>s</w:t>
      </w:r>
      <w:r w:rsidR="00E704B2">
        <w:t xml:space="preserve"> possédant les diplômes universitaires ou les qualifications professionnelles appropriées. Il</w:t>
      </w:r>
      <w:r>
        <w:t>s</w:t>
      </w:r>
      <w:r w:rsidR="00E704B2">
        <w:t xml:space="preserve"> </w:t>
      </w:r>
      <w:r>
        <w:t xml:space="preserve">doivent </w:t>
      </w:r>
      <w:r w:rsidR="00E704B2">
        <w:t xml:space="preserve">justifier d’un minimum de </w:t>
      </w:r>
      <w:r w:rsidR="00B348B6">
        <w:t>trois </w:t>
      </w:r>
      <w:r w:rsidR="00E704B2">
        <w:t>années d’expérience professionnelle dans le domaine de l’audit public.</w:t>
      </w:r>
    </w:p>
    <w:p w14:paraId="2D75709A" w14:textId="77777777" w:rsidR="00C729E5" w:rsidRPr="00E704B2" w:rsidRDefault="00C729E5" w:rsidP="00E704B2">
      <w:pPr>
        <w:keepLines/>
        <w:spacing w:before="120" w:after="120" w:line="276" w:lineRule="auto"/>
        <w:ind w:left="284"/>
        <w:jc w:val="both"/>
        <w:rPr>
          <w:rFonts w:cs="Times New Roman"/>
          <w:snapToGrid w:val="0"/>
          <w:szCs w:val="24"/>
        </w:rPr>
      </w:pPr>
    </w:p>
    <w:p w14:paraId="02B1CBD7" w14:textId="1B87AD70" w:rsidR="00E704B2" w:rsidRPr="00B05BE8" w:rsidRDefault="00E704B2" w:rsidP="00E704B2">
      <w:pPr>
        <w:keepLines/>
        <w:spacing w:before="120" w:after="120" w:line="276" w:lineRule="auto"/>
        <w:ind w:left="284" w:hanging="284"/>
        <w:jc w:val="both"/>
        <w:rPr>
          <w:rFonts w:cs="Times New Roman"/>
          <w:snapToGrid w:val="0"/>
          <w:szCs w:val="24"/>
          <w:u w:val="single"/>
        </w:rPr>
      </w:pPr>
      <w:r>
        <w:rPr>
          <w:snapToGrid w:val="0"/>
          <w:u w:val="single"/>
        </w:rPr>
        <w:t xml:space="preserve">Catégorie 4 – Auditeur </w:t>
      </w:r>
      <w:r w:rsidR="00B348B6">
        <w:rPr>
          <w:snapToGrid w:val="0"/>
          <w:u w:val="single"/>
        </w:rPr>
        <w:t>Junior</w:t>
      </w:r>
    </w:p>
    <w:p w14:paraId="79E5A9FB" w14:textId="2EC29921" w:rsidR="00E704B2" w:rsidRPr="00E704B2" w:rsidRDefault="00252916" w:rsidP="00B05BE8">
      <w:pPr>
        <w:keepLines/>
        <w:spacing w:before="120" w:after="360" w:line="276" w:lineRule="auto"/>
        <w:ind w:left="284"/>
        <w:jc w:val="both"/>
        <w:rPr>
          <w:rFonts w:cs="Times New Roman"/>
          <w:snapToGrid w:val="0"/>
          <w:szCs w:val="24"/>
        </w:rPr>
      </w:pPr>
      <w:r>
        <w:t xml:space="preserve">Les </w:t>
      </w:r>
      <w:r w:rsidR="00E704B2">
        <w:t>auditeur</w:t>
      </w:r>
      <w:r>
        <w:t>s</w:t>
      </w:r>
      <w:r w:rsidR="00E704B2">
        <w:t xml:space="preserve"> </w:t>
      </w:r>
      <w:r w:rsidR="00B348B6">
        <w:t xml:space="preserve">adjoints </w:t>
      </w:r>
      <w:r w:rsidR="00E704B2">
        <w:t>doi</w:t>
      </w:r>
      <w:r>
        <w:t>vent</w:t>
      </w:r>
      <w:r w:rsidR="00E704B2">
        <w:t xml:space="preserve"> posséder un diplôme universitaire approprié et au moins </w:t>
      </w:r>
      <w:r w:rsidR="00B348B6">
        <w:t>six</w:t>
      </w:r>
      <w:r w:rsidR="00E704B2">
        <w:t xml:space="preserve"> mois d’expérience professionnelle dans le domaine de l’audit public. </w:t>
      </w:r>
    </w:p>
    <w:p w14:paraId="7AB6E8D6" w14:textId="77777777" w:rsidR="00E704B2" w:rsidRPr="00E704B2" w:rsidRDefault="00E704B2" w:rsidP="00B05BE8">
      <w:pPr>
        <w:pStyle w:val="Titolo3"/>
        <w:spacing w:before="360"/>
        <w:rPr>
          <w:snapToGrid w:val="0"/>
        </w:rPr>
      </w:pPr>
      <w:r>
        <w:t>Curriculums vitæ (CV)</w:t>
      </w:r>
    </w:p>
    <w:p w14:paraId="560F44D0" w14:textId="397FB7F5" w:rsidR="00E704B2" w:rsidRDefault="00E704B2" w:rsidP="00E704B2">
      <w:pPr>
        <w:keepLines/>
        <w:spacing w:before="120" w:after="120" w:line="276" w:lineRule="auto"/>
        <w:jc w:val="both"/>
        <w:rPr>
          <w:rFonts w:cs="Times New Roman"/>
          <w:szCs w:val="24"/>
        </w:rPr>
      </w:pPr>
      <w:r>
        <w:t>L’auditeur fournit à l’organisation le CV de l’associé ou de toute autre personne du cabinet d’audit qui est responsable de l’audit et de la signature du rapport, ainsi que les CV des directeurs de mission, des auditeurs confirmés et des auditeurs assistants proposés comme membres de l’équipe de mission. Les CV doivent détailler le type de missions effectuées par les membres du personnel, et indiquer leur aptitude et leur capacité à réaliser l’audit, ainsi que leur expérience spécifique en la matière. L’organisation examinera les CV avant de signer un bon de commande de la mission ou tout autre document contractuel applicable pour la réalisation de cette mission et se réserve le droit de les rejeter si elle estime qu’ils ne sont pas conformes aux exigences de cette dernière.</w:t>
      </w:r>
    </w:p>
    <w:p w14:paraId="22CFCF22" w14:textId="73C10A91" w:rsidR="00EB4B1C" w:rsidRPr="00EB4B1C" w:rsidRDefault="00EB4B1C" w:rsidP="00EB4B1C">
      <w:pPr>
        <w:keepLines/>
        <w:spacing w:before="120" w:after="120" w:line="276" w:lineRule="auto"/>
        <w:jc w:val="both"/>
        <w:rPr>
          <w:rFonts w:cs="Times New Roman"/>
          <w:szCs w:val="24"/>
        </w:rPr>
      </w:pPr>
      <w:r>
        <w:t>La DG ECHO se réserve également le droit de demander, d’examiner et de valider l’authenticité de ces CV à tout moment, et ce jusqu’à quatre années après la date à laquelle le rapport d’évaluation final lui est soumis pour examen.</w:t>
      </w:r>
    </w:p>
    <w:p w14:paraId="194A1097" w14:textId="77777777" w:rsidR="00EB4B1C" w:rsidRPr="00E704B2" w:rsidRDefault="00EB4B1C" w:rsidP="00E704B2">
      <w:pPr>
        <w:keepLines/>
        <w:spacing w:before="120" w:after="120" w:line="276" w:lineRule="auto"/>
        <w:jc w:val="both"/>
        <w:rPr>
          <w:rFonts w:cs="Times New Roman"/>
          <w:szCs w:val="24"/>
        </w:rPr>
      </w:pPr>
    </w:p>
    <w:p w14:paraId="496B1E09" w14:textId="79A04966" w:rsidR="00E704B2" w:rsidRPr="00B05BE8" w:rsidRDefault="00E704B2" w:rsidP="00D75B04">
      <w:pPr>
        <w:pStyle w:val="Titolo1"/>
        <w:spacing w:after="360"/>
      </w:pPr>
      <w:bookmarkStart w:id="3" w:name="_Toc107978466"/>
      <w:bookmarkStart w:id="4" w:name="_Toc107978663"/>
      <w:bookmarkStart w:id="5" w:name="_Toc107979288"/>
      <w:bookmarkStart w:id="6" w:name="_Toc107980066"/>
      <w:bookmarkStart w:id="7" w:name="_Toc107980213"/>
      <w:bookmarkStart w:id="8" w:name="_Toc107980303"/>
      <w:bookmarkStart w:id="9" w:name="_Toc107981402"/>
      <w:bookmarkStart w:id="10" w:name="_Toc107981510"/>
      <w:bookmarkStart w:id="11" w:name="_Toc107978467"/>
      <w:bookmarkStart w:id="12" w:name="_Toc107978664"/>
      <w:bookmarkStart w:id="13" w:name="_Toc107979289"/>
      <w:bookmarkStart w:id="14" w:name="_Toc107980067"/>
      <w:bookmarkStart w:id="15" w:name="_Toc107980214"/>
      <w:bookmarkStart w:id="16" w:name="_Toc107980304"/>
      <w:bookmarkStart w:id="17" w:name="_Toc107981403"/>
      <w:bookmarkStart w:id="18" w:name="_Toc107981511"/>
      <w:bookmarkStart w:id="19" w:name="_Toc107978469"/>
      <w:bookmarkStart w:id="20" w:name="_Toc107978666"/>
      <w:bookmarkStart w:id="21" w:name="_Toc107979291"/>
      <w:bookmarkStart w:id="22" w:name="_Toc107980069"/>
      <w:bookmarkStart w:id="23" w:name="_Toc107980216"/>
      <w:bookmarkStart w:id="24" w:name="_Toc107980306"/>
      <w:bookmarkStart w:id="25" w:name="_Toc107981405"/>
      <w:bookmarkStart w:id="26" w:name="_Toc107981513"/>
      <w:bookmarkStart w:id="27" w:name="_Toc107978470"/>
      <w:bookmarkStart w:id="28" w:name="_Toc107978667"/>
      <w:bookmarkStart w:id="29" w:name="_Toc107979292"/>
      <w:bookmarkStart w:id="30" w:name="_Toc107980070"/>
      <w:bookmarkStart w:id="31" w:name="_Toc107980217"/>
      <w:bookmarkStart w:id="32" w:name="_Toc107980307"/>
      <w:bookmarkStart w:id="33" w:name="_Toc107981406"/>
      <w:bookmarkStart w:id="34" w:name="_Toc107981514"/>
      <w:bookmarkStart w:id="35" w:name="_Toc107978474"/>
      <w:bookmarkStart w:id="36" w:name="_Toc107978671"/>
      <w:bookmarkStart w:id="37" w:name="_Toc107979296"/>
      <w:bookmarkStart w:id="38" w:name="_Toc107980074"/>
      <w:bookmarkStart w:id="39" w:name="_Toc107980221"/>
      <w:bookmarkStart w:id="40" w:name="_Toc107980311"/>
      <w:bookmarkStart w:id="41" w:name="_Toc107981410"/>
      <w:bookmarkStart w:id="42" w:name="_Toc107981518"/>
      <w:bookmarkStart w:id="43" w:name="_Toc107978476"/>
      <w:bookmarkStart w:id="44" w:name="_Toc107978673"/>
      <w:bookmarkStart w:id="45" w:name="_Toc107979298"/>
      <w:bookmarkStart w:id="46" w:name="_Toc107980076"/>
      <w:bookmarkStart w:id="47" w:name="_Toc107980223"/>
      <w:bookmarkStart w:id="48" w:name="_Toc107980313"/>
      <w:bookmarkStart w:id="49" w:name="_Toc107981412"/>
      <w:bookmarkStart w:id="50" w:name="_Toc107981520"/>
      <w:bookmarkStart w:id="51" w:name="_Toc107978477"/>
      <w:bookmarkStart w:id="52" w:name="_Toc107978674"/>
      <w:bookmarkStart w:id="53" w:name="_Toc107979299"/>
      <w:bookmarkStart w:id="54" w:name="_Toc107980077"/>
      <w:bookmarkStart w:id="55" w:name="_Toc107980224"/>
      <w:bookmarkStart w:id="56" w:name="_Toc107980314"/>
      <w:bookmarkStart w:id="57" w:name="_Toc107981413"/>
      <w:bookmarkStart w:id="58" w:name="_Toc107981521"/>
      <w:bookmarkStart w:id="59" w:name="_Toc107978478"/>
      <w:bookmarkStart w:id="60" w:name="_Toc107978675"/>
      <w:bookmarkStart w:id="61" w:name="_Toc107979300"/>
      <w:bookmarkStart w:id="62" w:name="_Toc107980078"/>
      <w:bookmarkStart w:id="63" w:name="_Toc107980225"/>
      <w:bookmarkStart w:id="64" w:name="_Toc107980315"/>
      <w:bookmarkStart w:id="65" w:name="_Toc107981414"/>
      <w:bookmarkStart w:id="66" w:name="_Toc107981522"/>
      <w:bookmarkStart w:id="67" w:name="_Toc107978481"/>
      <w:bookmarkStart w:id="68" w:name="_Toc107978678"/>
      <w:bookmarkStart w:id="69" w:name="_Toc107979303"/>
      <w:bookmarkStart w:id="70" w:name="_Toc107980081"/>
      <w:bookmarkStart w:id="71" w:name="_Toc107980228"/>
      <w:bookmarkStart w:id="72" w:name="_Toc107980318"/>
      <w:bookmarkStart w:id="73" w:name="_Toc107981417"/>
      <w:bookmarkStart w:id="74" w:name="_Toc107981525"/>
      <w:bookmarkStart w:id="75" w:name="_Toc107978489"/>
      <w:bookmarkStart w:id="76" w:name="_Toc107978686"/>
      <w:bookmarkStart w:id="77" w:name="_Toc107979311"/>
      <w:bookmarkStart w:id="78" w:name="_Toc107980089"/>
      <w:bookmarkStart w:id="79" w:name="_Toc107980236"/>
      <w:bookmarkStart w:id="80" w:name="_Toc107980326"/>
      <w:bookmarkStart w:id="81" w:name="_Toc107981425"/>
      <w:bookmarkStart w:id="82" w:name="_Toc107981533"/>
      <w:bookmarkStart w:id="83" w:name="_Toc11338487"/>
      <w:bookmarkStart w:id="84" w:name="_Toc139183037"/>
      <w:bookmarkStart w:id="85" w:name="_Toc8967341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t>OBJECTIF ET CHAMP D’APPLICATION</w:t>
      </w:r>
      <w:bookmarkEnd w:id="83"/>
    </w:p>
    <w:p w14:paraId="2D6C2D6A" w14:textId="00791381" w:rsidR="00083E47" w:rsidRPr="00083E47" w:rsidRDefault="00E704B2" w:rsidP="00D75B04">
      <w:pPr>
        <w:keepLines/>
        <w:spacing w:before="360" w:after="120" w:line="276" w:lineRule="auto"/>
        <w:jc w:val="both"/>
        <w:rPr>
          <w:rFonts w:eastAsia="Calibri" w:cs="Times New Roman"/>
          <w:szCs w:val="24"/>
        </w:rPr>
      </w:pPr>
      <w:r>
        <w:t>La mission de l’auditeur consiste à évaluer les systèmes mis en place ainsi que les contrôles, les règles et les procédures appliqués par l’organisation vis-à-vis des critères fixés par la Commission. L’auditeur conclura sur une série de questions, regroupées en deux ensembles, concernant les exigences minimales (premier ensemble) et les critères d’aptitude supplémentaires (second ensemble) auxquels l’organisation candidate doit satisfaire pour devenir un partenaire ACP. Le rapport d’évaluation faisant état des conclusions des auditeurs et des notes attribuées par ces derniers fait partie intégrante du dossier de candidature de l’organisation. Bien que ce rapport contribue à l’évaluation de l’organisation, il appartient à la DG ECHO de prendre la décision finale concernant l’</w:t>
      </w:r>
      <w:r w:rsidR="003E6373">
        <w:t>attribution de l’</w:t>
      </w:r>
      <w:r>
        <w:t xml:space="preserve">ACP. </w:t>
      </w:r>
    </w:p>
    <w:p w14:paraId="2A1715CC" w14:textId="77777777" w:rsidR="00083E47" w:rsidRPr="00083E47" w:rsidRDefault="00E704B2" w:rsidP="00D75B04">
      <w:pPr>
        <w:pStyle w:val="Titolo2"/>
        <w:spacing w:after="240"/>
      </w:pPr>
      <w:r>
        <w:t>Objectif</w:t>
      </w:r>
    </w:p>
    <w:p w14:paraId="52AC083A" w14:textId="2CA0339C" w:rsidR="00E704B2" w:rsidRPr="00E704B2" w:rsidRDefault="00E704B2" w:rsidP="00083E47">
      <w:pPr>
        <w:keepLines/>
        <w:spacing w:after="120" w:line="276" w:lineRule="auto"/>
        <w:jc w:val="both"/>
        <w:rPr>
          <w:rFonts w:cs="Times New Roman"/>
          <w:snapToGrid w:val="0"/>
          <w:szCs w:val="24"/>
        </w:rPr>
      </w:pPr>
      <w:r>
        <w:t>L’</w:t>
      </w:r>
      <w:r>
        <w:rPr>
          <w:b/>
          <w:snapToGrid w:val="0"/>
        </w:rPr>
        <w:t>objectif</w:t>
      </w:r>
      <w:r>
        <w:t xml:space="preserve"> de cette évaluation est d’offrir à la DG ECHO une garantie raisonnable indépendante quant à la capacité de l’organisation à remplir les critères et conditions d’octroi d’un ACP (ou d’un ACP provisoire, voir la section III ci-après pour en connaître les seuils), et de déterminer, sur une base d’assurance raisonnable, si l’organisation:</w:t>
      </w:r>
    </w:p>
    <w:p w14:paraId="2CC48019" w14:textId="7FA4E7F3" w:rsidR="00E704B2" w:rsidRPr="00E704B2" w:rsidRDefault="00E704B2" w:rsidP="00EF2416">
      <w:pPr>
        <w:numPr>
          <w:ilvl w:val="0"/>
          <w:numId w:val="17"/>
        </w:numPr>
        <w:spacing w:before="120" w:after="120" w:line="276" w:lineRule="auto"/>
        <w:jc w:val="both"/>
        <w:rPr>
          <w:rFonts w:cs="Times New Roman"/>
          <w:szCs w:val="24"/>
        </w:rPr>
      </w:pPr>
      <w:r>
        <w:t xml:space="preserve">est une </w:t>
      </w:r>
      <w:r>
        <w:rPr>
          <w:b/>
        </w:rPr>
        <w:t>ONG</w:t>
      </w:r>
      <w:r>
        <w:t xml:space="preserve"> habilitée à bénéficier d’un financement de l’Union </w:t>
      </w:r>
      <w:r w:rsidR="003E6373">
        <w:t xml:space="preserve">européenne </w:t>
      </w:r>
      <w:r>
        <w:t>conformément au règlement concernant l’aide humanitaire et aux conditions spécifiques fixées par la Commission sur la base de celui-ci;</w:t>
      </w:r>
    </w:p>
    <w:p w14:paraId="09730F8F" w14:textId="2C067641" w:rsidR="00E704B2" w:rsidRPr="00E704B2" w:rsidRDefault="00E704B2" w:rsidP="00EF2416">
      <w:pPr>
        <w:numPr>
          <w:ilvl w:val="0"/>
          <w:numId w:val="17"/>
        </w:numPr>
        <w:spacing w:before="120" w:after="120" w:line="276" w:lineRule="auto"/>
        <w:jc w:val="both"/>
        <w:rPr>
          <w:rFonts w:cs="Times New Roman"/>
          <w:szCs w:val="24"/>
        </w:rPr>
      </w:pPr>
      <w:r>
        <w:t xml:space="preserve">est </w:t>
      </w:r>
      <w:r>
        <w:rPr>
          <w:b/>
        </w:rPr>
        <w:t>transparente</w:t>
      </w:r>
      <w:r>
        <w:t xml:space="preserve"> et </w:t>
      </w:r>
      <w:r>
        <w:rPr>
          <w:b/>
        </w:rPr>
        <w:t>responsable</w:t>
      </w:r>
      <w:r>
        <w:t xml:space="preserve"> dans </w:t>
      </w:r>
      <w:r w:rsidR="003E6373">
        <w:t xml:space="preserve">la mise en place de </w:t>
      </w:r>
      <w:r>
        <w:t>ses activités d’aide humanitaire;</w:t>
      </w:r>
    </w:p>
    <w:p w14:paraId="1E289793" w14:textId="704AC794" w:rsidR="00E704B2" w:rsidRPr="00E704B2" w:rsidRDefault="00E704B2" w:rsidP="00EF2416">
      <w:pPr>
        <w:numPr>
          <w:ilvl w:val="0"/>
          <w:numId w:val="17"/>
        </w:numPr>
        <w:spacing w:before="120" w:after="120" w:line="276" w:lineRule="auto"/>
        <w:jc w:val="both"/>
        <w:rPr>
          <w:rFonts w:cs="Times New Roman"/>
          <w:szCs w:val="24"/>
        </w:rPr>
      </w:pPr>
      <w:r>
        <w:t xml:space="preserve">veille à respecter les </w:t>
      </w:r>
      <w:r>
        <w:rPr>
          <w:b/>
          <w:color w:val="000000"/>
        </w:rPr>
        <w:t>principes humanitaires</w:t>
      </w:r>
      <w:r>
        <w:t xml:space="preserve"> et les </w:t>
      </w:r>
      <w:r>
        <w:rPr>
          <w:b/>
          <w:snapToGrid w:val="0"/>
        </w:rPr>
        <w:t>normes éthiques</w:t>
      </w:r>
      <w:r>
        <w:t xml:space="preserve"> les plus strictes, et à </w:t>
      </w:r>
      <w:r>
        <w:rPr>
          <w:b/>
          <w:snapToGrid w:val="0"/>
        </w:rPr>
        <w:t>déployer les moyens adéquats</w:t>
      </w:r>
      <w:r>
        <w:t xml:space="preserve"> pour lutter contre les </w:t>
      </w:r>
      <w:r>
        <w:rPr>
          <w:b/>
          <w:snapToGrid w:val="0"/>
        </w:rPr>
        <w:t>irrégularités, la fraude, la corruption et les fautes professionnelles</w:t>
      </w:r>
      <w:r>
        <w:t xml:space="preserve"> de toute</w:t>
      </w:r>
      <w:r w:rsidR="00E80737">
        <w:t>s</w:t>
      </w:r>
      <w:r>
        <w:t xml:space="preserve"> sorte</w:t>
      </w:r>
      <w:r w:rsidR="00E80737">
        <w:t>s</w:t>
      </w:r>
      <w:r>
        <w:rPr>
          <w:rStyle w:val="Rimandonotaapidipagina"/>
          <w:snapToGrid w:val="0"/>
        </w:rPr>
        <w:footnoteReference w:id="1"/>
      </w:r>
      <w:r>
        <w:t>;</w:t>
      </w:r>
    </w:p>
    <w:p w14:paraId="164BA5D7" w14:textId="2B91A768" w:rsidR="00E704B2" w:rsidRPr="00E704B2" w:rsidRDefault="00E704B2" w:rsidP="00EF2416">
      <w:pPr>
        <w:numPr>
          <w:ilvl w:val="0"/>
          <w:numId w:val="17"/>
        </w:numPr>
        <w:spacing w:before="120" w:after="120" w:line="276" w:lineRule="auto"/>
        <w:jc w:val="both"/>
        <w:rPr>
          <w:rFonts w:cs="Times New Roman"/>
          <w:szCs w:val="24"/>
        </w:rPr>
      </w:pPr>
      <w:r>
        <w:t xml:space="preserve">dispose de la </w:t>
      </w:r>
      <w:r>
        <w:rPr>
          <w:b/>
          <w:snapToGrid w:val="0"/>
        </w:rPr>
        <w:t>capacité opérationnelle adéquate</w:t>
      </w:r>
      <w:r>
        <w:t xml:space="preserve"> pour concevoir, mettre en œuvre et surveiller les projets financés par l’Union</w:t>
      </w:r>
      <w:r w:rsidR="00643B3D">
        <w:t xml:space="preserve"> européenne</w:t>
      </w:r>
      <w:r>
        <w:t xml:space="preserve">, de manière à répondre aux besoins humanitaires concernés en apportant une aide dans des circonstances difficiles; </w:t>
      </w:r>
    </w:p>
    <w:p w14:paraId="6F25EEDC" w14:textId="3049A6EC" w:rsidR="00E704B2" w:rsidRPr="00E704B2" w:rsidRDefault="00E704B2" w:rsidP="00EF2416">
      <w:pPr>
        <w:numPr>
          <w:ilvl w:val="0"/>
          <w:numId w:val="17"/>
        </w:numPr>
        <w:spacing w:before="120" w:after="120" w:line="276" w:lineRule="auto"/>
        <w:jc w:val="both"/>
        <w:rPr>
          <w:rFonts w:cs="Times New Roman"/>
          <w:szCs w:val="24"/>
        </w:rPr>
      </w:pPr>
      <w:r>
        <w:t xml:space="preserve">veille au respect des </w:t>
      </w:r>
      <w:r>
        <w:rPr>
          <w:b/>
          <w:snapToGrid w:val="0"/>
        </w:rPr>
        <w:t>règles, règlements, normes et obligations contractuelles applicables</w:t>
      </w:r>
      <w:r>
        <w:t xml:space="preserve"> dans les domaines précisés par la DG ECHO; et</w:t>
      </w:r>
    </w:p>
    <w:p w14:paraId="1D49723F" w14:textId="35BE366F" w:rsidR="00E704B2" w:rsidRPr="00E704B2" w:rsidRDefault="00E704B2" w:rsidP="00EF2416">
      <w:pPr>
        <w:numPr>
          <w:ilvl w:val="0"/>
          <w:numId w:val="17"/>
        </w:numPr>
        <w:spacing w:before="120" w:after="120" w:line="276" w:lineRule="auto"/>
        <w:jc w:val="both"/>
        <w:rPr>
          <w:rFonts w:cs="Times New Roman"/>
          <w:szCs w:val="24"/>
        </w:rPr>
      </w:pPr>
      <w:r>
        <w:t xml:space="preserve">dispose d’un </w:t>
      </w:r>
      <w:r>
        <w:rPr>
          <w:b/>
        </w:rPr>
        <w:t>système de contrôle interne</w:t>
      </w:r>
      <w:r>
        <w:t xml:space="preserve"> solide fondé sur les bonnes pratiques internationales et conforme aux critères fixés par la DG ECHO.</w:t>
      </w:r>
    </w:p>
    <w:p w14:paraId="25B0AC56" w14:textId="18E8A87D" w:rsidR="00083E47" w:rsidRPr="00083E47" w:rsidRDefault="00E704B2" w:rsidP="00083E47">
      <w:pPr>
        <w:keepLines/>
        <w:spacing w:before="120" w:after="120" w:line="276" w:lineRule="auto"/>
        <w:jc w:val="both"/>
        <w:rPr>
          <w:rFonts w:cs="Times New Roman"/>
          <w:snapToGrid w:val="0"/>
          <w:szCs w:val="24"/>
        </w:rPr>
      </w:pPr>
      <w:r>
        <w:t xml:space="preserve">Des conditions spécifiques peuvent s’appliquer aux organisations de niche dans certaines des catégories susmentionnées. En outre, les organisations qui souhaiteraient nouer un </w:t>
      </w:r>
      <w:r>
        <w:rPr>
          <w:b/>
          <w:snapToGrid w:val="0"/>
        </w:rPr>
        <w:t>partenariat programmatique</w:t>
      </w:r>
      <w:r>
        <w:t xml:space="preserve"> doivent satisfaire à certaines conditions supplémentaires décrites à l’</w:t>
      </w:r>
      <w:r>
        <w:rPr>
          <w:b/>
          <w:i/>
          <w:snapToGrid w:val="0"/>
        </w:rPr>
        <w:t>annexe 3</w:t>
      </w:r>
      <w:r>
        <w:t xml:space="preserve"> du modèle de rapport d’évaluation.</w:t>
      </w:r>
    </w:p>
    <w:p w14:paraId="05D023BB" w14:textId="77777777" w:rsidR="00083E47" w:rsidRPr="00083E47" w:rsidRDefault="00E704B2" w:rsidP="00D75B04">
      <w:pPr>
        <w:pStyle w:val="Titolo2"/>
      </w:pPr>
      <w:r>
        <w:t>Champ d’application</w:t>
      </w:r>
    </w:p>
    <w:p w14:paraId="1CF77129" w14:textId="77777777" w:rsidR="00083E47" w:rsidRPr="00083E47" w:rsidRDefault="00E704B2" w:rsidP="00D75B04">
      <w:pPr>
        <w:pStyle w:val="Titolo3"/>
      </w:pPr>
      <w:r>
        <w:t>Lieu et période visés par l’évaluation</w:t>
      </w:r>
    </w:p>
    <w:p w14:paraId="5BBCFC86" w14:textId="47350174" w:rsidR="00E704B2" w:rsidRPr="00E704B2" w:rsidRDefault="00E704B2" w:rsidP="00083E47">
      <w:pPr>
        <w:spacing w:after="120" w:line="276" w:lineRule="auto"/>
        <w:jc w:val="both"/>
        <w:rPr>
          <w:rFonts w:cs="Times New Roman"/>
          <w:color w:val="0000FF"/>
          <w:szCs w:val="24"/>
        </w:rPr>
      </w:pPr>
      <w:r>
        <w:t xml:space="preserve">Cette évaluation sera effectuée dans les locaux de l’organisation. L’auditeur est tenu de confirmer à l’organisation le(s) lieu(x) où l’évaluation sera effectuée </w:t>
      </w:r>
      <w:r>
        <w:rPr>
          <w:b/>
        </w:rPr>
        <w:t>avant</w:t>
      </w:r>
      <w:r>
        <w:t xml:space="preserve"> le début des travaux sur le terrain et doit s’assurer qu’il pourra avoir accès aux documents justificatifs nécessaires ainsi qu’au personnel essentiel au cours de la mission. </w:t>
      </w:r>
    </w:p>
    <w:p w14:paraId="7C307738" w14:textId="10970E7F" w:rsidR="00E704B2" w:rsidRPr="00E704B2" w:rsidRDefault="00E704B2" w:rsidP="00E704B2">
      <w:pPr>
        <w:spacing w:before="120" w:after="120" w:line="276" w:lineRule="auto"/>
        <w:jc w:val="both"/>
        <w:rPr>
          <w:rFonts w:cs="Times New Roman"/>
          <w:szCs w:val="24"/>
        </w:rPr>
      </w:pPr>
      <w:r>
        <w:t xml:space="preserve">La </w:t>
      </w:r>
      <w:r>
        <w:rPr>
          <w:b/>
        </w:rPr>
        <w:t>période couverte par l’évaluation</w:t>
      </w:r>
      <w:r>
        <w:t xml:space="preserve"> devrait normalement être l’année (période de 12 mois) se terminant le premier jour des travaux d’évaluation sur le terrain, c’est-à-dire le jour où l’auditeur commence effectivement les procédures et les tests d’évaluation sur site, à l’endroit décidé par l’organisation et l’auditeur.</w:t>
      </w:r>
    </w:p>
    <w:p w14:paraId="6A5A97AD" w14:textId="77777777" w:rsidR="00083E47" w:rsidRPr="00083E47" w:rsidRDefault="00E704B2" w:rsidP="005320E2">
      <w:pPr>
        <w:pStyle w:val="Titolo3"/>
        <w:spacing w:before="360"/>
      </w:pPr>
      <w:r>
        <w:t>Contexte de la mission</w:t>
      </w:r>
    </w:p>
    <w:p w14:paraId="3079BD43" w14:textId="77777777" w:rsidR="00E704B2" w:rsidRPr="003A0582" w:rsidRDefault="003A0582" w:rsidP="00083E47">
      <w:pPr>
        <w:keepLines/>
        <w:spacing w:after="120" w:line="276" w:lineRule="auto"/>
        <w:jc w:val="both"/>
        <w:rPr>
          <w:rFonts w:cs="Times New Roman"/>
          <w:szCs w:val="24"/>
        </w:rPr>
      </w:pPr>
      <w:r>
        <w:t>Les annexes mentionnées ci-après sont les annexes au rapport d’évaluation (</w:t>
      </w:r>
      <w:r>
        <w:rPr>
          <w:b/>
          <w:i/>
        </w:rPr>
        <w:t>annexe A</w:t>
      </w:r>
      <w:r>
        <w:t>).</w:t>
      </w:r>
    </w:p>
    <w:p w14:paraId="495E7F04" w14:textId="5A21C4C8" w:rsidR="00E704B2" w:rsidRPr="00E704B2" w:rsidRDefault="00E704B2" w:rsidP="0043692E">
      <w:pPr>
        <w:keepLines/>
        <w:spacing w:before="120" w:after="120" w:line="276" w:lineRule="auto"/>
        <w:jc w:val="both"/>
        <w:rPr>
          <w:rFonts w:cs="Times New Roman"/>
          <w:szCs w:val="24"/>
        </w:rPr>
      </w:pPr>
      <w:r>
        <w:t xml:space="preserve">L’auditeur se fait une première idée du </w:t>
      </w:r>
      <w:r>
        <w:rPr>
          <w:b/>
        </w:rPr>
        <w:t xml:space="preserve">contexte de la mission </w:t>
      </w:r>
      <w:r>
        <w:t>sur la base de l’</w:t>
      </w:r>
      <w:r>
        <w:rPr>
          <w:b/>
          <w:i/>
        </w:rPr>
        <w:t>annexe 1</w:t>
      </w:r>
      <w:r>
        <w:rPr>
          <w:i/>
        </w:rPr>
        <w:t xml:space="preserve"> Contexte de la mission – Informations essentielles</w:t>
      </w:r>
      <w:r>
        <w:t>. Cette compréhension doit se refléter pleinement dans la lettre de mission liant</w:t>
      </w:r>
      <w:r w:rsidR="0015153C">
        <w:t xml:space="preserve"> l’auditeur et l’organisation. </w:t>
      </w:r>
      <w:r>
        <w:t>L’auditeur doit suffisamment comprendre le contexte de la mission pour être en mesure de soumettre une offre significative à l’organisation. L’auditeur doit tenir compte des circonstances particulières de la mission et faire preuve de jugement professionnel tout au long de la procédure d’évaluation.</w:t>
      </w:r>
    </w:p>
    <w:p w14:paraId="493BA7D3" w14:textId="7588A9C0" w:rsidR="00E704B2" w:rsidRPr="00E704B2" w:rsidRDefault="00E704B2" w:rsidP="00E704B2">
      <w:pPr>
        <w:spacing w:before="120" w:after="120" w:line="276" w:lineRule="auto"/>
        <w:jc w:val="both"/>
        <w:rPr>
          <w:rFonts w:cs="Times New Roman"/>
          <w:szCs w:val="24"/>
        </w:rPr>
      </w:pPr>
      <w:r>
        <w:t xml:space="preserve">L’auditeur doit concevoir, planifier et exécuter les procédures d’évaluation afin de recueillir suffisamment d’éléments probants lui permettant d’attribuer des notes et de répondre au </w:t>
      </w:r>
      <w:r>
        <w:rPr>
          <w:i/>
        </w:rPr>
        <w:t>questionnaire d’évaluation</w:t>
      </w:r>
      <w:r>
        <w:t xml:space="preserve"> figurant à l’</w:t>
      </w:r>
      <w:r>
        <w:rPr>
          <w:b/>
          <w:i/>
        </w:rPr>
        <w:t>annexe 3</w:t>
      </w:r>
      <w:r>
        <w:t>. Pour ce faire, il doit tenir compte des critères essentiels ou importants de la DG ECHO que l’organisation évaluée doit absolument respecter.</w:t>
      </w:r>
    </w:p>
    <w:p w14:paraId="10A22EA9" w14:textId="5EF28E9D" w:rsidR="0043692E" w:rsidRPr="00DE1E49" w:rsidRDefault="00E704B2" w:rsidP="0043692E">
      <w:pPr>
        <w:keepLines/>
        <w:spacing w:before="120" w:after="120" w:line="276" w:lineRule="auto"/>
        <w:jc w:val="both"/>
        <w:rPr>
          <w:rFonts w:cs="Times New Roman"/>
          <w:i/>
          <w:szCs w:val="24"/>
        </w:rPr>
      </w:pPr>
      <w:r>
        <w:t xml:space="preserve">Le </w:t>
      </w:r>
      <w:r>
        <w:rPr>
          <w:i/>
        </w:rPr>
        <w:t>questionnaire d’évaluation</w:t>
      </w:r>
      <w:r>
        <w:t xml:space="preserve"> complété de l’</w:t>
      </w:r>
      <w:r>
        <w:rPr>
          <w:b/>
          <w:i/>
        </w:rPr>
        <w:t>annexe 3</w:t>
      </w:r>
      <w:r>
        <w:t xml:space="preserve"> est une source essentielle d’informations et d’éléments probants relatifs à l’évaluation pour l’auditeur. Cependant, ce n’est en aucun cas la seule source dont dispose l’auditeur pour planifier et effectuer les procédures d’évaluation, tirer des conclusions sur les questions et attribuer les notes correspondantes. L’auditeur peut également ajouter des critères supplémentaires s’il l’estime nécessaire pour parvenir à une conclusion éclairée. L’auditeur reste </w:t>
      </w:r>
      <w:r w:rsidR="00DD35A1">
        <w:t xml:space="preserve">en tout temps </w:t>
      </w:r>
      <w:r>
        <w:t xml:space="preserve">pleinement responsable de la conception, de la planification et de l’application des procédures d’évaluation qu’il estime nécessaires. Tout critère ou test supplémentaire doit être décrit à </w:t>
      </w:r>
      <w:r>
        <w:rPr>
          <w:b/>
          <w:i/>
        </w:rPr>
        <w:t>l’annexe 5</w:t>
      </w:r>
      <w:r>
        <w:rPr>
          <w:i/>
        </w:rPr>
        <w:t xml:space="preserve"> Démarche adoptée et critères</w:t>
      </w:r>
      <w:r>
        <w:t>.</w:t>
      </w:r>
    </w:p>
    <w:p w14:paraId="38E4B72D" w14:textId="77777777" w:rsidR="0043692E" w:rsidRPr="00245847" w:rsidRDefault="0043692E" w:rsidP="0043692E">
      <w:pPr>
        <w:keepLines/>
        <w:spacing w:before="120" w:after="120" w:line="276" w:lineRule="auto"/>
        <w:jc w:val="both"/>
        <w:rPr>
          <w:rFonts w:cs="Times New Roman"/>
          <w:szCs w:val="24"/>
        </w:rPr>
      </w:pPr>
      <w:r>
        <w:t xml:space="preserve">L’auditeur utilise les informations du </w:t>
      </w:r>
      <w:r>
        <w:rPr>
          <w:i/>
        </w:rPr>
        <w:t>questionnaire d’évaluation</w:t>
      </w:r>
      <w:r>
        <w:t xml:space="preserve"> de l’</w:t>
      </w:r>
      <w:r>
        <w:rPr>
          <w:b/>
          <w:i/>
        </w:rPr>
        <w:t>annexe 3</w:t>
      </w:r>
      <w:r>
        <w:t xml:space="preserve"> et les résultats des procédures d’évaluation pour compléter l’</w:t>
      </w:r>
      <w:r>
        <w:rPr>
          <w:b/>
          <w:i/>
        </w:rPr>
        <w:t>annexe 2</w:t>
      </w:r>
      <w:r>
        <w:t xml:space="preserve"> </w:t>
      </w:r>
      <w:r>
        <w:rPr>
          <w:i/>
        </w:rPr>
        <w:t xml:space="preserve">Vue d’ensemble des notes et des réponses </w:t>
      </w:r>
      <w:r>
        <w:t xml:space="preserve">et pour tirer des conclusions pour chaque ensemble de questions évalué. </w:t>
      </w:r>
    </w:p>
    <w:p w14:paraId="39541283" w14:textId="60E26301" w:rsidR="00E704B2" w:rsidRPr="00E704B2" w:rsidRDefault="00E704B2" w:rsidP="00245847">
      <w:pPr>
        <w:spacing w:before="120" w:after="120" w:line="276" w:lineRule="auto"/>
        <w:jc w:val="both"/>
        <w:rPr>
          <w:rFonts w:cs="Times New Roman"/>
          <w:szCs w:val="24"/>
        </w:rPr>
      </w:pPr>
      <w:r>
        <w:t xml:space="preserve">Dans les </w:t>
      </w:r>
      <w:r>
        <w:rPr>
          <w:b/>
          <w:i/>
        </w:rPr>
        <w:t>annexes 4A et 4B</w:t>
      </w:r>
      <w:r>
        <w:rPr>
          <w:i/>
        </w:rPr>
        <w:t xml:space="preserve"> Description spécifique – Responsabilité</w:t>
      </w:r>
      <w:r w:rsidR="0015153C">
        <w:rPr>
          <w:i/>
        </w:rPr>
        <w:t> ,</w:t>
      </w:r>
      <w:r>
        <w:rPr>
          <w:i/>
        </w:rPr>
        <w:t xml:space="preserve"> </w:t>
      </w:r>
      <w:r>
        <w:t>l’auditeur présente une description détaillée et une évaluation de plusieurs éléments i) lorsque l’organisation est membre d’une famille, d’un réseau ou d’une fédération d’organisations non gouvernementales internationales sans but lucratif (</w:t>
      </w:r>
      <w:r>
        <w:rPr>
          <w:b/>
          <w:i/>
        </w:rPr>
        <w:t>annexe 4A</w:t>
      </w:r>
      <w:r>
        <w:t>), ou ii) lorsque les fonds sont systématiquement utilisés par une ou plusieurs organisations non gouvernementales à but non lucratif qui ne se trouvent pas dans l’une des situations visées à l’</w:t>
      </w:r>
      <w:r>
        <w:rPr>
          <w:i/>
        </w:rPr>
        <w:t>annexe 4A</w:t>
      </w:r>
      <w:r>
        <w:t>, telles que les organisations établies dans le pays d’intervention ou un autre pays en développement (</w:t>
      </w:r>
      <w:r>
        <w:rPr>
          <w:b/>
          <w:i/>
        </w:rPr>
        <w:t>annexe 4B</w:t>
      </w:r>
      <w:r>
        <w:t>).</w:t>
      </w:r>
    </w:p>
    <w:p w14:paraId="69570B45" w14:textId="77777777" w:rsidR="00E704B2" w:rsidRPr="00E704B2" w:rsidRDefault="00E704B2" w:rsidP="00083E47">
      <w:pPr>
        <w:pStyle w:val="Titolo3"/>
      </w:pPr>
      <w:r>
        <w:t>Limitations du champ d’application</w:t>
      </w:r>
    </w:p>
    <w:p w14:paraId="4B58548C" w14:textId="5785A5B7" w:rsidR="00083E47" w:rsidRPr="00083E47" w:rsidRDefault="00E704B2" w:rsidP="00083E47">
      <w:pPr>
        <w:keepLines/>
        <w:spacing w:before="120" w:after="120" w:line="276" w:lineRule="auto"/>
        <w:jc w:val="both"/>
        <w:rPr>
          <w:rFonts w:cs="Times New Roman"/>
          <w:szCs w:val="24"/>
        </w:rPr>
      </w:pPr>
      <w:r>
        <w:t>L’auditeur déterminera toute limitation du champ d’application des travaux décelée avant le début de l’examen et s’efforcera avec l’organisation de les éliminer ou de déterminer comment poursuivre l’évaluation.</w:t>
      </w:r>
    </w:p>
    <w:p w14:paraId="16B049B7" w14:textId="77777777" w:rsidR="0043692E" w:rsidRPr="005320E2" w:rsidRDefault="0060310D" w:rsidP="00E704B2">
      <w:pPr>
        <w:keepLines/>
        <w:spacing w:before="120" w:after="120" w:line="276" w:lineRule="auto"/>
        <w:jc w:val="both"/>
      </w:pPr>
      <w:r>
        <w:t>Toute limitation du champ d’application subsistante devra être précisée dans le rapport final de l’auditeur et sera prise en compte par la DG ECHO dans l’évaluation de l’organisation.</w:t>
      </w:r>
    </w:p>
    <w:p w14:paraId="0408B691" w14:textId="77777777" w:rsidR="0043692E" w:rsidRPr="00B05BE8" w:rsidRDefault="0043692E" w:rsidP="005320E2">
      <w:pPr>
        <w:pStyle w:val="Titolo1"/>
        <w:rPr>
          <w:rFonts w:ascii="Times New Roman Bold" w:hAnsi="Times New Roman Bold"/>
          <w:caps/>
          <w:smallCaps w:val="0"/>
        </w:rPr>
      </w:pPr>
      <w:r>
        <w:rPr>
          <w:rFonts w:ascii="Times New Roman Bold" w:hAnsi="Times New Roman Bold"/>
          <w:caps/>
          <w:smallCaps w:val="0"/>
        </w:rPr>
        <w:t>Démarche adoptée et notation</w:t>
      </w:r>
    </w:p>
    <w:p w14:paraId="78D5268A" w14:textId="77777777" w:rsidR="00E704B2" w:rsidRPr="00E704B2" w:rsidRDefault="00E704B2" w:rsidP="00E704B2">
      <w:pPr>
        <w:keepLines/>
        <w:spacing w:before="120" w:after="120" w:line="276" w:lineRule="auto"/>
        <w:jc w:val="both"/>
        <w:rPr>
          <w:rFonts w:cs="Times New Roman"/>
          <w:b/>
          <w:szCs w:val="24"/>
        </w:rPr>
      </w:pPr>
      <w:r>
        <w:rPr>
          <w:b/>
        </w:rPr>
        <w:t>Ensembles de questions 1 et 2 – Notation globale et résultats de l’évaluation ex ante</w:t>
      </w:r>
    </w:p>
    <w:p w14:paraId="24347C0A" w14:textId="77777777" w:rsidR="00E704B2" w:rsidRDefault="00E704B2" w:rsidP="00E704B2">
      <w:pPr>
        <w:keepLines/>
        <w:spacing w:before="120" w:after="120" w:line="276" w:lineRule="auto"/>
        <w:jc w:val="both"/>
        <w:rPr>
          <w:rFonts w:cs="Times New Roman"/>
          <w:szCs w:val="24"/>
        </w:rPr>
      </w:pPr>
      <w:r>
        <w:t>Les réponses et les notes sont présentées à l’</w:t>
      </w:r>
      <w:r>
        <w:rPr>
          <w:b/>
          <w:i/>
        </w:rPr>
        <w:t>annexe 2</w:t>
      </w:r>
      <w:r>
        <w:t xml:space="preserve"> </w:t>
      </w:r>
      <w:r>
        <w:rPr>
          <w:i/>
        </w:rPr>
        <w:t>Vue d’ensemble des notes et des réponses</w:t>
      </w:r>
      <w:r>
        <w:t>. Les notes et les résultats obtenus dans les différents cas sont les suivants:</w:t>
      </w:r>
    </w:p>
    <w:tbl>
      <w:tblPr>
        <w:tblStyle w:val="Grigliatabella"/>
        <w:tblW w:w="0" w:type="auto"/>
        <w:tblLook w:val="04A0" w:firstRow="1" w:lastRow="0" w:firstColumn="1" w:lastColumn="0" w:noHBand="0" w:noVBand="1"/>
      </w:tblPr>
      <w:tblGrid>
        <w:gridCol w:w="2347"/>
        <w:gridCol w:w="6833"/>
      </w:tblGrid>
      <w:tr w:rsidR="00E704B2" w:rsidRPr="00E704B2" w14:paraId="3BE8E2B5" w14:textId="77777777" w:rsidTr="00E704B2">
        <w:tc>
          <w:tcPr>
            <w:tcW w:w="9180" w:type="dxa"/>
            <w:gridSpan w:val="2"/>
            <w:shd w:val="clear" w:color="auto" w:fill="D9D9D9" w:themeFill="background1" w:themeFillShade="D9"/>
            <w:vAlign w:val="center"/>
          </w:tcPr>
          <w:p w14:paraId="0C874182" w14:textId="77777777" w:rsidR="00E704B2" w:rsidRPr="00E704B2" w:rsidRDefault="00E704B2" w:rsidP="00E704B2">
            <w:pPr>
              <w:spacing w:before="160"/>
              <w:jc w:val="center"/>
              <w:rPr>
                <w:rFonts w:cs="Times New Roman"/>
              </w:rPr>
            </w:pPr>
            <w:r>
              <w:rPr>
                <w:rFonts w:ascii="Arial" w:hAnsi="Arial"/>
                <w:b/>
                <w:sz w:val="16"/>
              </w:rPr>
              <w:t>NOTATION GLOBALE</w:t>
            </w:r>
          </w:p>
        </w:tc>
      </w:tr>
      <w:tr w:rsidR="00E704B2" w:rsidRPr="000D5918" w14:paraId="7BBD5DA2" w14:textId="77777777" w:rsidTr="00E704B2">
        <w:tc>
          <w:tcPr>
            <w:tcW w:w="9180" w:type="dxa"/>
            <w:gridSpan w:val="2"/>
          </w:tcPr>
          <w:p w14:paraId="704E025B" w14:textId="77777777" w:rsidR="00E704B2" w:rsidRPr="00E704B2" w:rsidRDefault="00E704B2" w:rsidP="00E704B2">
            <w:pPr>
              <w:spacing w:before="160"/>
              <w:rPr>
                <w:rFonts w:cs="Times New Roman"/>
              </w:rPr>
            </w:pPr>
            <w:r>
              <w:rPr>
                <w:rFonts w:ascii="Arial" w:hAnsi="Arial"/>
                <w:b/>
                <w:sz w:val="16"/>
              </w:rPr>
              <w:t>PREMIER ENSEMBLE – EXIGENCES MINIMALES:  OUI/NON</w:t>
            </w:r>
          </w:p>
        </w:tc>
      </w:tr>
      <w:tr w:rsidR="00E704B2" w:rsidRPr="00E704B2" w14:paraId="56BA4F02" w14:textId="77777777" w:rsidTr="00E704B2">
        <w:tc>
          <w:tcPr>
            <w:tcW w:w="9180" w:type="dxa"/>
            <w:gridSpan w:val="2"/>
          </w:tcPr>
          <w:p w14:paraId="2ABE045E" w14:textId="77777777" w:rsidR="00E704B2" w:rsidRPr="00E704B2" w:rsidRDefault="00E704B2" w:rsidP="00E704B2">
            <w:pPr>
              <w:spacing w:before="160"/>
              <w:rPr>
                <w:rFonts w:cs="Times New Roman"/>
              </w:rPr>
            </w:pPr>
            <w:r>
              <w:rPr>
                <w:rFonts w:ascii="Arial" w:hAnsi="Arial"/>
                <w:b/>
                <w:sz w:val="16"/>
              </w:rPr>
              <w:t>SECOND ENSEMBLE – CRITÈRES D’APTITUDE SUPPLÉMENTAIRES: …/10</w:t>
            </w:r>
          </w:p>
        </w:tc>
      </w:tr>
      <w:tr w:rsidR="00E704B2" w:rsidRPr="00E704B2" w14:paraId="77BE0621" w14:textId="77777777" w:rsidTr="00E704B2">
        <w:tc>
          <w:tcPr>
            <w:tcW w:w="9180" w:type="dxa"/>
            <w:gridSpan w:val="2"/>
            <w:shd w:val="clear" w:color="auto" w:fill="D9D9D9" w:themeFill="background1" w:themeFillShade="D9"/>
          </w:tcPr>
          <w:p w14:paraId="4475D6CB" w14:textId="77777777" w:rsidR="00E704B2" w:rsidRPr="00E704B2" w:rsidRDefault="00E704B2" w:rsidP="00E704B2">
            <w:pPr>
              <w:spacing w:before="160"/>
              <w:jc w:val="center"/>
              <w:rPr>
                <w:rFonts w:cs="Times New Roman"/>
              </w:rPr>
            </w:pPr>
            <w:r>
              <w:rPr>
                <w:rFonts w:ascii="Arial" w:hAnsi="Arial"/>
                <w:b/>
                <w:sz w:val="16"/>
              </w:rPr>
              <w:t>RÉSULTAT DE L’ÉVALUATION</w:t>
            </w:r>
          </w:p>
        </w:tc>
      </w:tr>
      <w:tr w:rsidR="00E704B2" w:rsidRPr="00E704B2" w14:paraId="62EF2BEE" w14:textId="77777777" w:rsidTr="00E704B2">
        <w:tc>
          <w:tcPr>
            <w:tcW w:w="9180" w:type="dxa"/>
            <w:gridSpan w:val="2"/>
            <w:shd w:val="clear" w:color="auto" w:fill="F2F2F2" w:themeFill="background1" w:themeFillShade="F2"/>
          </w:tcPr>
          <w:p w14:paraId="4FFE1EC4" w14:textId="77777777" w:rsidR="00E704B2" w:rsidRPr="00E704B2" w:rsidRDefault="00E704B2" w:rsidP="00E704B2">
            <w:pPr>
              <w:spacing w:before="120" w:after="120"/>
              <w:rPr>
                <w:rFonts w:ascii="Arial" w:hAnsi="Arial" w:cs="Arial"/>
                <w:b/>
                <w:sz w:val="16"/>
                <w:szCs w:val="16"/>
              </w:rPr>
            </w:pPr>
            <w:r>
              <w:rPr>
                <w:rFonts w:ascii="Arial" w:hAnsi="Arial"/>
                <w:b/>
                <w:sz w:val="16"/>
              </w:rPr>
              <w:t xml:space="preserve">A. ACCEPTABLE </w:t>
            </w:r>
          </w:p>
        </w:tc>
      </w:tr>
      <w:tr w:rsidR="00E704B2" w:rsidRPr="000D5918" w14:paraId="7DFAC724" w14:textId="77777777" w:rsidTr="00E704B2">
        <w:tc>
          <w:tcPr>
            <w:tcW w:w="2347" w:type="dxa"/>
          </w:tcPr>
          <w:p w14:paraId="0C75246D" w14:textId="77777777" w:rsidR="00E704B2" w:rsidRPr="00E704B2" w:rsidRDefault="00E704B2" w:rsidP="00E704B2">
            <w:pPr>
              <w:spacing w:before="120" w:after="120"/>
              <w:rPr>
                <w:rFonts w:ascii="Arial" w:hAnsi="Arial" w:cs="Arial"/>
                <w:b/>
                <w:sz w:val="16"/>
                <w:szCs w:val="16"/>
              </w:rPr>
            </w:pPr>
            <w:r>
              <w:rPr>
                <w:rFonts w:ascii="Arial" w:hAnsi="Arial"/>
                <w:b/>
                <w:sz w:val="16"/>
              </w:rPr>
              <w:t xml:space="preserve">Partenaire ACP </w:t>
            </w:r>
          </w:p>
        </w:tc>
        <w:tc>
          <w:tcPr>
            <w:tcW w:w="6833" w:type="dxa"/>
          </w:tcPr>
          <w:p w14:paraId="050330B5" w14:textId="77777777" w:rsidR="00E704B2" w:rsidRPr="00E704B2" w:rsidRDefault="00E704B2" w:rsidP="00E704B2">
            <w:pPr>
              <w:spacing w:before="60" w:after="60"/>
              <w:jc w:val="both"/>
              <w:rPr>
                <w:rFonts w:ascii="Arial" w:hAnsi="Arial" w:cs="Arial"/>
                <w:i/>
                <w:sz w:val="16"/>
                <w:szCs w:val="16"/>
              </w:rPr>
            </w:pPr>
            <w:r>
              <w:rPr>
                <w:rFonts w:ascii="Arial" w:hAnsi="Arial"/>
                <w:i/>
                <w:sz w:val="16"/>
              </w:rPr>
              <w:t xml:space="preserve">  =&gt; Premier ensemble – exigences minimales: réponse = </w:t>
            </w:r>
            <w:r>
              <w:rPr>
                <w:rFonts w:ascii="Arial" w:hAnsi="Arial"/>
                <w:b/>
                <w:i/>
                <w:sz w:val="16"/>
              </w:rPr>
              <w:t>OUI</w:t>
            </w:r>
          </w:p>
          <w:p w14:paraId="667051B0" w14:textId="5A387CB8" w:rsidR="00E704B2" w:rsidRPr="00E704B2" w:rsidRDefault="00E704B2" w:rsidP="00E704B2">
            <w:pPr>
              <w:spacing w:before="60" w:after="60"/>
              <w:jc w:val="both"/>
              <w:rPr>
                <w:rFonts w:ascii="Arial" w:hAnsi="Arial" w:cs="Arial"/>
                <w:i/>
                <w:sz w:val="16"/>
                <w:szCs w:val="16"/>
              </w:rPr>
            </w:pPr>
            <w:r>
              <w:rPr>
                <w:rFonts w:ascii="Arial" w:hAnsi="Arial"/>
                <w:i/>
                <w:sz w:val="16"/>
              </w:rPr>
              <w:t xml:space="preserve">  =&gt; Second ensemble – critères d’aptitude supplémentaires: note ≥ </w:t>
            </w:r>
            <w:r>
              <w:rPr>
                <w:rFonts w:ascii="Arial" w:hAnsi="Arial"/>
                <w:b/>
                <w:i/>
                <w:sz w:val="16"/>
              </w:rPr>
              <w:t>6/10</w:t>
            </w:r>
            <w:r>
              <w:rPr>
                <w:rFonts w:ascii="Arial" w:hAnsi="Arial"/>
                <w:i/>
                <w:sz w:val="16"/>
              </w:rPr>
              <w:t xml:space="preserve"> et </w:t>
            </w:r>
            <w:r>
              <w:rPr>
                <w:rFonts w:ascii="Arial" w:hAnsi="Arial"/>
                <w:b/>
                <w:i/>
                <w:sz w:val="16"/>
              </w:rPr>
              <w:t>≥ 4/10 pour chaque question</w:t>
            </w:r>
            <w:r>
              <w:rPr>
                <w:rFonts w:ascii="Arial" w:hAnsi="Arial"/>
                <w:i/>
                <w:sz w:val="16"/>
              </w:rPr>
              <w:t>.</w:t>
            </w:r>
          </w:p>
        </w:tc>
      </w:tr>
      <w:tr w:rsidR="00E704B2" w:rsidRPr="000D5918" w14:paraId="4368CB5A" w14:textId="77777777" w:rsidTr="00E704B2">
        <w:tc>
          <w:tcPr>
            <w:tcW w:w="2347" w:type="dxa"/>
          </w:tcPr>
          <w:p w14:paraId="18B6BA19" w14:textId="77777777" w:rsidR="00E704B2" w:rsidRPr="00E704B2" w:rsidRDefault="00E704B2" w:rsidP="00E704B2">
            <w:pPr>
              <w:spacing w:before="120" w:after="120"/>
              <w:rPr>
                <w:rFonts w:ascii="Arial" w:hAnsi="Arial" w:cs="Arial"/>
                <w:b/>
                <w:sz w:val="16"/>
                <w:szCs w:val="16"/>
              </w:rPr>
            </w:pPr>
            <w:r>
              <w:rPr>
                <w:rFonts w:ascii="Arial" w:hAnsi="Arial"/>
                <w:b/>
                <w:sz w:val="16"/>
              </w:rPr>
              <w:t>Partenariat programmatique</w:t>
            </w:r>
          </w:p>
        </w:tc>
        <w:tc>
          <w:tcPr>
            <w:tcW w:w="6833" w:type="dxa"/>
          </w:tcPr>
          <w:p w14:paraId="350E1B0A" w14:textId="77777777" w:rsidR="00E704B2" w:rsidRPr="00E704B2" w:rsidRDefault="00E704B2" w:rsidP="00E704B2">
            <w:pPr>
              <w:spacing w:before="60" w:after="60"/>
              <w:jc w:val="both"/>
              <w:rPr>
                <w:rFonts w:ascii="Arial" w:hAnsi="Arial" w:cs="Arial"/>
                <w:i/>
                <w:sz w:val="16"/>
                <w:szCs w:val="16"/>
              </w:rPr>
            </w:pPr>
            <w:r>
              <w:rPr>
                <w:rFonts w:ascii="Arial" w:hAnsi="Arial"/>
                <w:i/>
                <w:sz w:val="16"/>
              </w:rPr>
              <w:t xml:space="preserve">  =&gt; Premier ensemble – exigences minimales: réponse = </w:t>
            </w:r>
            <w:r>
              <w:rPr>
                <w:rFonts w:ascii="Arial" w:hAnsi="Arial"/>
                <w:b/>
                <w:i/>
                <w:sz w:val="16"/>
              </w:rPr>
              <w:t>OUI</w:t>
            </w:r>
          </w:p>
          <w:p w14:paraId="79300CD2" w14:textId="3FA6A68D" w:rsidR="00E704B2" w:rsidRPr="00E704B2" w:rsidRDefault="00E704B2" w:rsidP="00E704B2">
            <w:pPr>
              <w:spacing w:before="60" w:after="60"/>
              <w:jc w:val="both"/>
              <w:rPr>
                <w:rFonts w:ascii="Arial" w:hAnsi="Arial" w:cs="Arial"/>
                <w:i/>
                <w:sz w:val="16"/>
                <w:szCs w:val="16"/>
              </w:rPr>
            </w:pPr>
            <w:r>
              <w:rPr>
                <w:rFonts w:ascii="Arial" w:hAnsi="Arial"/>
                <w:i/>
                <w:sz w:val="16"/>
              </w:rPr>
              <w:t xml:space="preserve">  =&gt; Second ensemble – critères d’aptitude supplémentaires: note ≥ </w:t>
            </w:r>
            <w:r>
              <w:rPr>
                <w:rFonts w:ascii="Arial" w:hAnsi="Arial"/>
                <w:b/>
                <w:i/>
                <w:sz w:val="16"/>
              </w:rPr>
              <w:t>7/10</w:t>
            </w:r>
            <w:r>
              <w:rPr>
                <w:rFonts w:ascii="Arial" w:hAnsi="Arial"/>
                <w:i/>
                <w:sz w:val="16"/>
              </w:rPr>
              <w:t xml:space="preserve"> et </w:t>
            </w:r>
            <w:r>
              <w:rPr>
                <w:rFonts w:ascii="Arial" w:hAnsi="Arial"/>
                <w:b/>
                <w:i/>
                <w:sz w:val="16"/>
              </w:rPr>
              <w:t>≥ 4/10 pour chaque question</w:t>
            </w:r>
            <w:r>
              <w:rPr>
                <w:rFonts w:ascii="Arial" w:hAnsi="Arial"/>
                <w:i/>
                <w:sz w:val="16"/>
              </w:rPr>
              <w:t>.</w:t>
            </w:r>
          </w:p>
        </w:tc>
      </w:tr>
      <w:tr w:rsidR="00E704B2" w:rsidRPr="000D5918" w14:paraId="1A7AD304" w14:textId="77777777" w:rsidTr="00E704B2">
        <w:tc>
          <w:tcPr>
            <w:tcW w:w="9180" w:type="dxa"/>
            <w:gridSpan w:val="2"/>
            <w:shd w:val="clear" w:color="auto" w:fill="F2F2F2" w:themeFill="background1" w:themeFillShade="F2"/>
          </w:tcPr>
          <w:p w14:paraId="264E074D" w14:textId="77777777" w:rsidR="00E704B2" w:rsidRPr="00E704B2" w:rsidRDefault="00E704B2" w:rsidP="00E704B2">
            <w:pPr>
              <w:spacing w:before="120" w:after="120"/>
              <w:rPr>
                <w:rFonts w:ascii="Arial" w:hAnsi="Arial" w:cs="Arial"/>
                <w:b/>
                <w:sz w:val="16"/>
                <w:szCs w:val="16"/>
              </w:rPr>
            </w:pPr>
            <w:r>
              <w:rPr>
                <w:rFonts w:ascii="Arial" w:hAnsi="Arial"/>
                <w:b/>
                <w:sz w:val="16"/>
              </w:rPr>
              <w:t>B. ACCEPTABLE comme partenaire provisoire avec un plan d’action</w:t>
            </w:r>
          </w:p>
        </w:tc>
      </w:tr>
      <w:tr w:rsidR="00E704B2" w:rsidRPr="000D5918" w14:paraId="734208BB" w14:textId="77777777" w:rsidTr="00E704B2">
        <w:tc>
          <w:tcPr>
            <w:tcW w:w="2347" w:type="dxa"/>
          </w:tcPr>
          <w:p w14:paraId="74FE0336" w14:textId="77777777" w:rsidR="00E704B2" w:rsidRPr="00E704B2" w:rsidRDefault="00E704B2" w:rsidP="00E704B2">
            <w:pPr>
              <w:spacing w:before="120" w:after="120"/>
              <w:rPr>
                <w:rFonts w:ascii="Arial" w:hAnsi="Arial" w:cs="Arial"/>
                <w:b/>
                <w:sz w:val="16"/>
                <w:szCs w:val="16"/>
              </w:rPr>
            </w:pPr>
            <w:r>
              <w:rPr>
                <w:rFonts w:ascii="Arial" w:hAnsi="Arial"/>
                <w:b/>
                <w:sz w:val="16"/>
              </w:rPr>
              <w:t>Partenaire ACP</w:t>
            </w:r>
          </w:p>
        </w:tc>
        <w:tc>
          <w:tcPr>
            <w:tcW w:w="6833" w:type="dxa"/>
          </w:tcPr>
          <w:p w14:paraId="4FCE28C0" w14:textId="77777777" w:rsidR="00E704B2" w:rsidRPr="00E704B2" w:rsidRDefault="00E704B2" w:rsidP="00E704B2">
            <w:pPr>
              <w:spacing w:before="60" w:after="60"/>
              <w:ind w:left="34"/>
              <w:jc w:val="both"/>
              <w:rPr>
                <w:rFonts w:ascii="Arial" w:hAnsi="Arial" w:cs="Arial"/>
                <w:i/>
                <w:sz w:val="16"/>
                <w:szCs w:val="16"/>
              </w:rPr>
            </w:pPr>
            <w:r>
              <w:rPr>
                <w:rFonts w:ascii="Arial" w:hAnsi="Arial"/>
                <w:i/>
                <w:sz w:val="16"/>
              </w:rPr>
              <w:t>=&gt; Premier ensemble – exigences minimales: réponse = </w:t>
            </w:r>
            <w:r>
              <w:rPr>
                <w:rFonts w:ascii="Arial" w:hAnsi="Arial"/>
                <w:b/>
                <w:i/>
                <w:sz w:val="16"/>
              </w:rPr>
              <w:t>OUI</w:t>
            </w:r>
          </w:p>
          <w:p w14:paraId="32FE2A96" w14:textId="77777777" w:rsidR="00E704B2" w:rsidRPr="00E704B2" w:rsidRDefault="00E704B2" w:rsidP="00E704B2">
            <w:pPr>
              <w:spacing w:before="60" w:after="60"/>
              <w:ind w:left="34"/>
              <w:jc w:val="both"/>
              <w:rPr>
                <w:rFonts w:ascii="Arial" w:hAnsi="Arial" w:cs="Arial"/>
                <w:b/>
                <w:i/>
                <w:sz w:val="16"/>
                <w:szCs w:val="16"/>
              </w:rPr>
            </w:pPr>
            <w:r>
              <w:rPr>
                <w:rFonts w:ascii="Arial" w:hAnsi="Arial"/>
                <w:i/>
                <w:sz w:val="16"/>
              </w:rPr>
              <w:t xml:space="preserve">=&gt; Second ensemble – critères d’aptitude supplémentaires: </w:t>
            </w:r>
            <w:r>
              <w:rPr>
                <w:rFonts w:ascii="Arial" w:hAnsi="Arial"/>
                <w:b/>
                <w:i/>
                <w:sz w:val="16"/>
              </w:rPr>
              <w:t>5/10 ≤ note &lt; 6/10</w:t>
            </w:r>
            <w:r>
              <w:rPr>
                <w:rFonts w:ascii="Arial" w:hAnsi="Arial"/>
                <w:i/>
                <w:sz w:val="16"/>
              </w:rPr>
              <w:t xml:space="preserve"> et </w:t>
            </w:r>
            <w:r>
              <w:rPr>
                <w:rFonts w:ascii="Arial" w:hAnsi="Arial"/>
                <w:b/>
                <w:i/>
                <w:sz w:val="16"/>
              </w:rPr>
              <w:t>≥ 4/10 pour chaque question</w:t>
            </w:r>
          </w:p>
          <w:p w14:paraId="5BB4985A" w14:textId="16E51AC5" w:rsidR="00E704B2" w:rsidRPr="00E704B2" w:rsidRDefault="0093133C" w:rsidP="00E704B2">
            <w:pPr>
              <w:spacing w:before="120" w:after="120"/>
              <w:jc w:val="both"/>
              <w:rPr>
                <w:rFonts w:ascii="Arial" w:hAnsi="Arial" w:cs="Arial"/>
                <w:i/>
                <w:sz w:val="16"/>
                <w:szCs w:val="16"/>
              </w:rPr>
            </w:pPr>
            <w:r>
              <w:rPr>
                <w:rFonts w:ascii="Arial" w:hAnsi="Arial"/>
                <w:i/>
                <w:sz w:val="16"/>
              </w:rPr>
              <w:t>Dans un tel cas, les auditeurs du partenaire provisoire devront effectuer un suivi dans un délai d’un an à compter de la signature de l’ACP. Réévaluation des questions ayant obtenu une note supérieure à 4 et inférieure à 6 et nouveau calcul de la note moyenne de l’ensemble des critères d’aptitude supplémentaires.</w:t>
            </w:r>
          </w:p>
          <w:p w14:paraId="3A45A90F" w14:textId="438E849E" w:rsidR="00E704B2" w:rsidRPr="00E704B2" w:rsidRDefault="00E704B2" w:rsidP="00E704B2">
            <w:pPr>
              <w:spacing w:before="120" w:after="120"/>
              <w:jc w:val="both"/>
              <w:rPr>
                <w:rFonts w:ascii="Arial" w:hAnsi="Arial" w:cs="Arial"/>
                <w:i/>
                <w:sz w:val="16"/>
                <w:szCs w:val="16"/>
              </w:rPr>
            </w:pPr>
            <w:r>
              <w:rPr>
                <w:rFonts w:ascii="Arial" w:hAnsi="Arial"/>
                <w:i/>
                <w:sz w:val="16"/>
              </w:rPr>
              <w:t xml:space="preserve">Si le rapport d’évaluation présenté par le partenaire provisoire aboutit à une note globale Acceptable (A), alors le statut de l’organisation passe à </w:t>
            </w:r>
            <w:r w:rsidR="00ED26AA">
              <w:rPr>
                <w:rFonts w:ascii="Arial" w:hAnsi="Arial"/>
                <w:i/>
                <w:sz w:val="16"/>
              </w:rPr>
              <w:t xml:space="preserve">celui de </w:t>
            </w:r>
            <w:r>
              <w:rPr>
                <w:rFonts w:ascii="Arial" w:hAnsi="Arial"/>
                <w:i/>
                <w:sz w:val="16"/>
              </w:rPr>
              <w:t xml:space="preserve">partenaire ACP régulier. L’organisation sera systématiquement incluse dans le plan d’audit de la DG ECHO et sera contrôlée par les auditeurs de la DG ECHO au cours de la première année de l’ACP. </w:t>
            </w:r>
          </w:p>
          <w:p w14:paraId="1D7381AA" w14:textId="77777777" w:rsidR="00E704B2" w:rsidRPr="00E704B2" w:rsidRDefault="00E704B2" w:rsidP="00E704B2">
            <w:pPr>
              <w:spacing w:before="60" w:after="60"/>
              <w:jc w:val="both"/>
              <w:rPr>
                <w:rFonts w:ascii="Arial" w:hAnsi="Arial" w:cs="Arial"/>
                <w:i/>
                <w:sz w:val="16"/>
                <w:szCs w:val="16"/>
              </w:rPr>
            </w:pPr>
            <w:r>
              <w:rPr>
                <w:rFonts w:ascii="Arial" w:hAnsi="Arial"/>
                <w:i/>
                <w:sz w:val="16"/>
              </w:rPr>
              <w:t>Si le nouveau rapport d’évaluation présenté par le partenaire provisoire montre que les recommandations n’ont pas été entièrement appliquées et que la nouvelle note attribuée aux critères d’aptitude supplémentaires est inférieure à 6/10, l’ACP est suspendu ou résilié.</w:t>
            </w:r>
          </w:p>
        </w:tc>
      </w:tr>
      <w:tr w:rsidR="00E704B2" w:rsidRPr="00E704B2" w14:paraId="2BF9CA76" w14:textId="77777777" w:rsidTr="00E704B2">
        <w:tc>
          <w:tcPr>
            <w:tcW w:w="2347" w:type="dxa"/>
          </w:tcPr>
          <w:p w14:paraId="4755F40E" w14:textId="77777777" w:rsidR="00E704B2" w:rsidRPr="00E704B2" w:rsidRDefault="00E704B2" w:rsidP="00E704B2">
            <w:pPr>
              <w:spacing w:before="120" w:after="120"/>
              <w:rPr>
                <w:rFonts w:ascii="Arial" w:hAnsi="Arial" w:cs="Arial"/>
                <w:b/>
                <w:sz w:val="16"/>
                <w:szCs w:val="16"/>
              </w:rPr>
            </w:pPr>
            <w:r>
              <w:rPr>
                <w:rFonts w:ascii="Arial" w:hAnsi="Arial"/>
                <w:b/>
                <w:sz w:val="16"/>
              </w:rPr>
              <w:t>Partenariat programmatique</w:t>
            </w:r>
          </w:p>
        </w:tc>
        <w:tc>
          <w:tcPr>
            <w:tcW w:w="6833" w:type="dxa"/>
            <w:vAlign w:val="center"/>
          </w:tcPr>
          <w:p w14:paraId="47809C52" w14:textId="77777777" w:rsidR="00E704B2" w:rsidRPr="00E704B2" w:rsidRDefault="00E704B2" w:rsidP="00E704B2">
            <w:pPr>
              <w:spacing w:before="60" w:after="60"/>
              <w:rPr>
                <w:rFonts w:ascii="Arial" w:hAnsi="Arial" w:cs="Arial"/>
                <w:i/>
                <w:sz w:val="16"/>
                <w:szCs w:val="16"/>
              </w:rPr>
            </w:pPr>
            <w:r>
              <w:rPr>
                <w:rFonts w:ascii="Arial" w:hAnsi="Arial"/>
                <w:i/>
                <w:sz w:val="16"/>
              </w:rPr>
              <w:t>Sans objet</w:t>
            </w:r>
          </w:p>
        </w:tc>
      </w:tr>
      <w:tr w:rsidR="00E704B2" w:rsidRPr="00E704B2" w14:paraId="2066E4D5" w14:textId="77777777" w:rsidTr="00E704B2">
        <w:tc>
          <w:tcPr>
            <w:tcW w:w="9180" w:type="dxa"/>
            <w:gridSpan w:val="2"/>
            <w:shd w:val="clear" w:color="auto" w:fill="F2F2F2" w:themeFill="background1" w:themeFillShade="F2"/>
          </w:tcPr>
          <w:p w14:paraId="28D8CE16" w14:textId="77777777" w:rsidR="00E704B2" w:rsidRPr="00E704B2" w:rsidRDefault="00E704B2" w:rsidP="00E704B2">
            <w:pPr>
              <w:spacing w:before="120" w:after="120"/>
              <w:rPr>
                <w:rFonts w:ascii="Arial" w:hAnsi="Arial" w:cs="Arial"/>
                <w:b/>
                <w:i/>
                <w:sz w:val="16"/>
                <w:szCs w:val="16"/>
              </w:rPr>
            </w:pPr>
            <w:r>
              <w:rPr>
                <w:rFonts w:ascii="Arial" w:hAnsi="Arial"/>
                <w:b/>
                <w:sz w:val="16"/>
              </w:rPr>
              <w:t>C. NON ADMISSIBLE / REJETÉ</w:t>
            </w:r>
          </w:p>
        </w:tc>
      </w:tr>
      <w:tr w:rsidR="00E704B2" w:rsidRPr="000D5918" w14:paraId="35D427B2" w14:textId="77777777" w:rsidTr="00E704B2">
        <w:tc>
          <w:tcPr>
            <w:tcW w:w="2347" w:type="dxa"/>
          </w:tcPr>
          <w:p w14:paraId="266573C1" w14:textId="77777777" w:rsidR="00E704B2" w:rsidRPr="00E704B2" w:rsidRDefault="00E704B2" w:rsidP="00E704B2">
            <w:pPr>
              <w:spacing w:before="120" w:after="120"/>
              <w:rPr>
                <w:rFonts w:ascii="Arial" w:hAnsi="Arial" w:cs="Arial"/>
                <w:b/>
                <w:sz w:val="16"/>
                <w:szCs w:val="16"/>
              </w:rPr>
            </w:pPr>
            <w:r>
              <w:rPr>
                <w:rFonts w:ascii="Arial" w:hAnsi="Arial"/>
                <w:b/>
                <w:sz w:val="16"/>
              </w:rPr>
              <w:t>Partenaire ACP</w:t>
            </w:r>
          </w:p>
        </w:tc>
        <w:tc>
          <w:tcPr>
            <w:tcW w:w="6833" w:type="dxa"/>
          </w:tcPr>
          <w:p w14:paraId="1D168BAE" w14:textId="3446D3A2" w:rsidR="00E704B2" w:rsidRPr="00E704B2" w:rsidRDefault="00E704B2" w:rsidP="00E704B2">
            <w:pPr>
              <w:spacing w:before="60" w:after="60"/>
              <w:ind w:left="34"/>
              <w:jc w:val="both"/>
              <w:rPr>
                <w:rFonts w:ascii="Arial" w:hAnsi="Arial" w:cs="Arial"/>
                <w:i/>
                <w:sz w:val="16"/>
                <w:szCs w:val="16"/>
              </w:rPr>
            </w:pPr>
            <w:r>
              <w:rPr>
                <w:rFonts w:ascii="Arial" w:hAnsi="Arial"/>
                <w:b/>
                <w:i/>
                <w:sz w:val="16"/>
              </w:rPr>
              <w:t>1.</w:t>
            </w:r>
            <w:r w:rsidR="0015153C">
              <w:rPr>
                <w:rFonts w:ascii="Arial" w:hAnsi="Arial"/>
                <w:i/>
                <w:sz w:val="16"/>
              </w:rPr>
              <w:t xml:space="preserve"> </w:t>
            </w:r>
            <w:r>
              <w:rPr>
                <w:rFonts w:ascii="Arial" w:hAnsi="Arial"/>
                <w:i/>
                <w:sz w:val="16"/>
              </w:rPr>
              <w:t>Premier ensemble – exigences minimales: réponse = </w:t>
            </w:r>
            <w:r>
              <w:rPr>
                <w:rFonts w:ascii="Arial" w:hAnsi="Arial"/>
                <w:b/>
                <w:i/>
                <w:sz w:val="16"/>
              </w:rPr>
              <w:t>NON</w:t>
            </w:r>
            <w:r>
              <w:rPr>
                <w:rFonts w:ascii="Arial" w:hAnsi="Arial"/>
                <w:i/>
                <w:sz w:val="16"/>
              </w:rPr>
              <w:t>, quelle que soit la note attribuée au second ensemble «Critères d’aptitude supplémentaires».</w:t>
            </w:r>
          </w:p>
          <w:p w14:paraId="04F96084" w14:textId="77777777" w:rsidR="00E704B2" w:rsidRPr="00E704B2" w:rsidRDefault="00E704B2" w:rsidP="00E704B2">
            <w:pPr>
              <w:spacing w:before="60" w:after="60"/>
              <w:ind w:left="34"/>
              <w:jc w:val="both"/>
              <w:rPr>
                <w:rFonts w:ascii="Arial" w:hAnsi="Arial" w:cs="Arial"/>
                <w:b/>
                <w:i/>
                <w:sz w:val="16"/>
                <w:szCs w:val="16"/>
              </w:rPr>
            </w:pPr>
            <w:r>
              <w:rPr>
                <w:rFonts w:ascii="Arial" w:hAnsi="Arial"/>
                <w:b/>
                <w:i/>
                <w:sz w:val="16"/>
              </w:rPr>
              <w:t>OU</w:t>
            </w:r>
          </w:p>
          <w:p w14:paraId="6DF8544F" w14:textId="4B7285D3" w:rsidR="00E704B2" w:rsidRPr="00E704B2" w:rsidRDefault="00E704B2" w:rsidP="00E704B2">
            <w:pPr>
              <w:spacing w:before="60" w:after="60"/>
              <w:ind w:left="34"/>
              <w:jc w:val="both"/>
              <w:rPr>
                <w:rFonts w:ascii="Arial" w:hAnsi="Arial" w:cs="Arial"/>
                <w:i/>
                <w:sz w:val="16"/>
                <w:szCs w:val="16"/>
              </w:rPr>
            </w:pPr>
            <w:r>
              <w:rPr>
                <w:rFonts w:ascii="Arial" w:hAnsi="Arial"/>
                <w:b/>
                <w:i/>
                <w:sz w:val="16"/>
              </w:rPr>
              <w:t>2.</w:t>
            </w:r>
            <w:r>
              <w:rPr>
                <w:rFonts w:ascii="Arial" w:hAnsi="Arial"/>
                <w:i/>
                <w:sz w:val="16"/>
              </w:rPr>
              <w:t xml:space="preserve"> Premier ensemble – exigences minimales: réponse = </w:t>
            </w:r>
            <w:r>
              <w:rPr>
                <w:rFonts w:ascii="Arial" w:hAnsi="Arial"/>
                <w:b/>
                <w:i/>
                <w:sz w:val="16"/>
              </w:rPr>
              <w:t>OUI</w:t>
            </w:r>
            <w:r>
              <w:rPr>
                <w:rFonts w:ascii="Arial" w:hAnsi="Arial"/>
                <w:i/>
                <w:sz w:val="16"/>
              </w:rPr>
              <w:t xml:space="preserve"> et la note attribuée au second ensemble «Critères d’aptitude supplémentaires» est </w:t>
            </w:r>
            <w:r>
              <w:rPr>
                <w:rFonts w:ascii="Arial" w:hAnsi="Arial"/>
                <w:b/>
                <w:i/>
                <w:sz w:val="16"/>
              </w:rPr>
              <w:t>≥ 5/10</w:t>
            </w:r>
            <w:r>
              <w:rPr>
                <w:rFonts w:ascii="Arial" w:hAnsi="Arial"/>
                <w:i/>
                <w:sz w:val="16"/>
              </w:rPr>
              <w:t xml:space="preserve">, mais l’une des questions a obtenu </w:t>
            </w:r>
            <w:r>
              <w:rPr>
                <w:rFonts w:ascii="Arial" w:hAnsi="Arial"/>
                <w:b/>
                <w:i/>
                <w:sz w:val="16"/>
              </w:rPr>
              <w:t>une note &lt; 4/10</w:t>
            </w:r>
            <w:r>
              <w:rPr>
                <w:rFonts w:ascii="Arial" w:hAnsi="Arial"/>
                <w:i/>
                <w:sz w:val="16"/>
              </w:rPr>
              <w:t>.</w:t>
            </w:r>
          </w:p>
          <w:p w14:paraId="6AC748EB" w14:textId="77777777" w:rsidR="00E704B2" w:rsidRPr="00E704B2" w:rsidRDefault="00E704B2" w:rsidP="00E704B2">
            <w:pPr>
              <w:spacing w:before="60" w:after="60"/>
              <w:ind w:left="34"/>
              <w:jc w:val="both"/>
              <w:rPr>
                <w:rFonts w:ascii="Arial" w:hAnsi="Arial" w:cs="Arial"/>
                <w:b/>
                <w:i/>
                <w:sz w:val="16"/>
                <w:szCs w:val="16"/>
              </w:rPr>
            </w:pPr>
            <w:r>
              <w:rPr>
                <w:rFonts w:ascii="Arial" w:hAnsi="Arial"/>
                <w:b/>
                <w:i/>
                <w:sz w:val="16"/>
              </w:rPr>
              <w:t>OU</w:t>
            </w:r>
          </w:p>
          <w:p w14:paraId="7A4540B3" w14:textId="1A8AC792" w:rsidR="00E704B2" w:rsidRPr="00E704B2" w:rsidRDefault="00E704B2" w:rsidP="00E704B2">
            <w:pPr>
              <w:spacing w:before="60" w:after="60"/>
              <w:ind w:left="34"/>
              <w:jc w:val="both"/>
              <w:rPr>
                <w:rFonts w:ascii="Arial" w:hAnsi="Arial" w:cs="Arial"/>
                <w:i/>
                <w:sz w:val="16"/>
                <w:szCs w:val="16"/>
              </w:rPr>
            </w:pPr>
            <w:r>
              <w:rPr>
                <w:rFonts w:ascii="Arial" w:hAnsi="Arial"/>
                <w:b/>
                <w:i/>
                <w:sz w:val="16"/>
              </w:rPr>
              <w:t>3.</w:t>
            </w:r>
            <w:r w:rsidR="0015153C">
              <w:rPr>
                <w:rFonts w:ascii="Arial" w:hAnsi="Arial"/>
                <w:i/>
                <w:sz w:val="16"/>
              </w:rPr>
              <w:t xml:space="preserve"> </w:t>
            </w:r>
            <w:r>
              <w:rPr>
                <w:rFonts w:ascii="Arial" w:hAnsi="Arial"/>
                <w:i/>
                <w:sz w:val="16"/>
              </w:rPr>
              <w:t>Premier ensemble – exigences minimales: réponse = </w:t>
            </w:r>
            <w:r>
              <w:rPr>
                <w:rFonts w:ascii="Arial" w:hAnsi="Arial"/>
                <w:b/>
                <w:i/>
                <w:sz w:val="16"/>
              </w:rPr>
              <w:t>OUI</w:t>
            </w:r>
          </w:p>
          <w:p w14:paraId="42399349" w14:textId="24C28A67" w:rsidR="00E704B2" w:rsidRPr="00E704B2" w:rsidRDefault="00E704B2" w:rsidP="00C730E9">
            <w:pPr>
              <w:spacing w:before="60" w:after="60"/>
              <w:ind w:left="34"/>
              <w:jc w:val="both"/>
              <w:rPr>
                <w:rFonts w:ascii="Arial" w:hAnsi="Arial" w:cs="Arial"/>
                <w:b/>
                <w:i/>
                <w:sz w:val="16"/>
                <w:szCs w:val="16"/>
              </w:rPr>
            </w:pPr>
            <w:r>
              <w:rPr>
                <w:rFonts w:ascii="Arial" w:hAnsi="Arial"/>
                <w:i/>
                <w:sz w:val="16"/>
              </w:rPr>
              <w:t xml:space="preserve"> Second ensemble – critères d’aptitude supplémentaires: la note est </w:t>
            </w:r>
            <w:r>
              <w:rPr>
                <w:rFonts w:ascii="Arial" w:hAnsi="Arial"/>
                <w:b/>
                <w:i/>
                <w:sz w:val="16"/>
              </w:rPr>
              <w:t>&lt; 5/10</w:t>
            </w:r>
          </w:p>
        </w:tc>
      </w:tr>
      <w:tr w:rsidR="00E704B2" w:rsidRPr="000D5918" w14:paraId="5EEE0382" w14:textId="77777777" w:rsidTr="00E704B2">
        <w:tc>
          <w:tcPr>
            <w:tcW w:w="2347" w:type="dxa"/>
          </w:tcPr>
          <w:p w14:paraId="270398C7" w14:textId="77777777" w:rsidR="00E704B2" w:rsidRPr="00E704B2" w:rsidRDefault="00E704B2" w:rsidP="00E704B2">
            <w:pPr>
              <w:spacing w:before="120" w:after="120"/>
              <w:rPr>
                <w:rFonts w:ascii="Arial" w:hAnsi="Arial" w:cs="Arial"/>
                <w:b/>
                <w:sz w:val="16"/>
                <w:szCs w:val="16"/>
              </w:rPr>
            </w:pPr>
            <w:r>
              <w:rPr>
                <w:rFonts w:ascii="Arial" w:hAnsi="Arial"/>
                <w:b/>
                <w:sz w:val="16"/>
              </w:rPr>
              <w:t>Partenariat programmatique</w:t>
            </w:r>
          </w:p>
        </w:tc>
        <w:tc>
          <w:tcPr>
            <w:tcW w:w="6833" w:type="dxa"/>
          </w:tcPr>
          <w:p w14:paraId="5008DE36" w14:textId="55ECB897" w:rsidR="00E704B2" w:rsidRPr="00E704B2" w:rsidRDefault="00E704B2" w:rsidP="00E704B2">
            <w:pPr>
              <w:spacing w:before="60" w:after="60"/>
              <w:ind w:left="34"/>
              <w:jc w:val="both"/>
              <w:rPr>
                <w:rFonts w:ascii="Arial" w:hAnsi="Arial" w:cs="Arial"/>
                <w:i/>
                <w:sz w:val="16"/>
                <w:szCs w:val="16"/>
              </w:rPr>
            </w:pPr>
            <w:r>
              <w:rPr>
                <w:rFonts w:ascii="Arial" w:hAnsi="Arial"/>
                <w:b/>
                <w:i/>
                <w:sz w:val="16"/>
              </w:rPr>
              <w:t>1.</w:t>
            </w:r>
            <w:r>
              <w:rPr>
                <w:rFonts w:ascii="Arial" w:hAnsi="Arial"/>
                <w:i/>
                <w:sz w:val="16"/>
              </w:rPr>
              <w:t xml:space="preserve"> Premier ensemble – exigences minimales: réponse = </w:t>
            </w:r>
            <w:r>
              <w:rPr>
                <w:rFonts w:ascii="Arial" w:hAnsi="Arial"/>
                <w:b/>
                <w:i/>
                <w:sz w:val="16"/>
              </w:rPr>
              <w:t>NON</w:t>
            </w:r>
            <w:r>
              <w:rPr>
                <w:rFonts w:ascii="Arial" w:hAnsi="Arial"/>
                <w:i/>
                <w:sz w:val="16"/>
              </w:rPr>
              <w:t>, quelle que soit la note attribuée au second ensemble «Critères d’aptitude supplémentaires».</w:t>
            </w:r>
          </w:p>
          <w:p w14:paraId="7F41A83D" w14:textId="77777777" w:rsidR="00E704B2" w:rsidRPr="00E704B2" w:rsidRDefault="00E704B2" w:rsidP="00E704B2">
            <w:pPr>
              <w:spacing w:before="60" w:after="60"/>
              <w:ind w:left="34"/>
              <w:jc w:val="both"/>
              <w:rPr>
                <w:rFonts w:ascii="Arial" w:hAnsi="Arial" w:cs="Arial"/>
                <w:b/>
                <w:i/>
                <w:sz w:val="16"/>
                <w:szCs w:val="16"/>
              </w:rPr>
            </w:pPr>
            <w:r>
              <w:rPr>
                <w:rFonts w:ascii="Arial" w:hAnsi="Arial"/>
                <w:b/>
                <w:i/>
                <w:sz w:val="16"/>
              </w:rPr>
              <w:t>OU</w:t>
            </w:r>
          </w:p>
          <w:p w14:paraId="14E01836" w14:textId="0384DB54" w:rsidR="00E704B2" w:rsidRPr="00E704B2" w:rsidRDefault="00E704B2" w:rsidP="00E704B2">
            <w:pPr>
              <w:spacing w:before="60" w:after="60"/>
              <w:ind w:left="34"/>
              <w:jc w:val="both"/>
              <w:rPr>
                <w:rFonts w:ascii="Arial" w:hAnsi="Arial" w:cs="Arial"/>
                <w:i/>
                <w:sz w:val="16"/>
                <w:szCs w:val="16"/>
              </w:rPr>
            </w:pPr>
            <w:r>
              <w:rPr>
                <w:rFonts w:ascii="Arial" w:hAnsi="Arial"/>
                <w:b/>
                <w:i/>
                <w:sz w:val="16"/>
              </w:rPr>
              <w:t>2.</w:t>
            </w:r>
            <w:r>
              <w:rPr>
                <w:rFonts w:ascii="Arial" w:hAnsi="Arial"/>
                <w:i/>
                <w:sz w:val="16"/>
              </w:rPr>
              <w:t xml:space="preserve"> Premier ensemble – exigences minimales: réponse = </w:t>
            </w:r>
            <w:r>
              <w:rPr>
                <w:rFonts w:ascii="Arial" w:hAnsi="Arial"/>
                <w:b/>
                <w:i/>
                <w:sz w:val="16"/>
              </w:rPr>
              <w:t>OUI</w:t>
            </w:r>
            <w:r>
              <w:rPr>
                <w:rFonts w:ascii="Arial" w:hAnsi="Arial"/>
                <w:i/>
                <w:sz w:val="16"/>
              </w:rPr>
              <w:t xml:space="preserve"> et la note attribuée au second ensemble «Critères d’aptitude supplémentaires» est </w:t>
            </w:r>
            <w:r>
              <w:rPr>
                <w:rFonts w:ascii="Arial" w:hAnsi="Arial"/>
                <w:b/>
                <w:i/>
                <w:sz w:val="16"/>
              </w:rPr>
              <w:t>≥ 7/10</w:t>
            </w:r>
            <w:r>
              <w:rPr>
                <w:rFonts w:ascii="Arial" w:hAnsi="Arial"/>
                <w:i/>
                <w:sz w:val="16"/>
              </w:rPr>
              <w:t xml:space="preserve">, mais l’une des questions a obtenu </w:t>
            </w:r>
            <w:r>
              <w:rPr>
                <w:rFonts w:ascii="Arial" w:hAnsi="Arial"/>
                <w:b/>
                <w:i/>
                <w:sz w:val="16"/>
              </w:rPr>
              <w:t>une note &lt; 4/10</w:t>
            </w:r>
            <w:r>
              <w:rPr>
                <w:rFonts w:ascii="Arial" w:hAnsi="Arial"/>
                <w:i/>
                <w:sz w:val="16"/>
              </w:rPr>
              <w:t>.</w:t>
            </w:r>
          </w:p>
          <w:p w14:paraId="740D8065" w14:textId="77777777" w:rsidR="00E704B2" w:rsidRPr="00E704B2" w:rsidRDefault="00E704B2" w:rsidP="00E704B2">
            <w:pPr>
              <w:spacing w:before="60" w:after="60"/>
              <w:ind w:left="34"/>
              <w:jc w:val="both"/>
              <w:rPr>
                <w:rFonts w:ascii="Arial" w:hAnsi="Arial" w:cs="Arial"/>
                <w:b/>
                <w:i/>
                <w:sz w:val="16"/>
                <w:szCs w:val="16"/>
              </w:rPr>
            </w:pPr>
            <w:r>
              <w:rPr>
                <w:rFonts w:ascii="Arial" w:hAnsi="Arial"/>
                <w:b/>
                <w:i/>
                <w:sz w:val="16"/>
              </w:rPr>
              <w:t>OU</w:t>
            </w:r>
          </w:p>
          <w:p w14:paraId="4503860C" w14:textId="7BBF42C3" w:rsidR="00E704B2" w:rsidRPr="00E704B2" w:rsidRDefault="00E704B2" w:rsidP="00E704B2">
            <w:pPr>
              <w:spacing w:before="60" w:after="60"/>
              <w:ind w:left="34"/>
              <w:jc w:val="both"/>
              <w:rPr>
                <w:rFonts w:ascii="Arial" w:hAnsi="Arial" w:cs="Arial"/>
                <w:i/>
                <w:sz w:val="16"/>
                <w:szCs w:val="16"/>
              </w:rPr>
            </w:pPr>
            <w:r>
              <w:rPr>
                <w:rFonts w:ascii="Arial" w:hAnsi="Arial"/>
                <w:b/>
                <w:i/>
                <w:sz w:val="16"/>
              </w:rPr>
              <w:t>3.</w:t>
            </w:r>
            <w:r w:rsidR="0015153C">
              <w:rPr>
                <w:rFonts w:ascii="Arial" w:hAnsi="Arial"/>
                <w:i/>
                <w:sz w:val="16"/>
              </w:rPr>
              <w:t xml:space="preserve"> </w:t>
            </w:r>
            <w:r>
              <w:rPr>
                <w:rFonts w:ascii="Arial" w:hAnsi="Arial"/>
                <w:i/>
                <w:sz w:val="16"/>
              </w:rPr>
              <w:t>Premier ensemble – exigences minimales: réponse = </w:t>
            </w:r>
            <w:r>
              <w:rPr>
                <w:rFonts w:ascii="Arial" w:hAnsi="Arial"/>
                <w:b/>
                <w:i/>
                <w:sz w:val="16"/>
              </w:rPr>
              <w:t>OUI</w:t>
            </w:r>
          </w:p>
          <w:p w14:paraId="333A4ECE" w14:textId="77777777" w:rsidR="00E704B2" w:rsidRPr="00E704B2" w:rsidRDefault="00E704B2" w:rsidP="00E704B2">
            <w:pPr>
              <w:spacing w:before="60" w:after="60"/>
              <w:ind w:left="34"/>
              <w:jc w:val="both"/>
              <w:rPr>
                <w:rFonts w:ascii="Arial" w:hAnsi="Arial" w:cs="Arial"/>
                <w:b/>
                <w:i/>
                <w:sz w:val="16"/>
                <w:szCs w:val="16"/>
              </w:rPr>
            </w:pPr>
            <w:r>
              <w:rPr>
                <w:rFonts w:ascii="Arial" w:hAnsi="Arial"/>
                <w:i/>
                <w:sz w:val="16"/>
              </w:rPr>
              <w:t xml:space="preserve"> Second ensemble – critères d’aptitude supplémentaires: la note est </w:t>
            </w:r>
            <w:r>
              <w:rPr>
                <w:rFonts w:ascii="Arial" w:hAnsi="Arial"/>
                <w:b/>
                <w:i/>
                <w:sz w:val="16"/>
              </w:rPr>
              <w:t>&lt; 7/10</w:t>
            </w:r>
            <w:r>
              <w:rPr>
                <w:rFonts w:ascii="Arial" w:hAnsi="Arial"/>
                <w:i/>
                <w:sz w:val="16"/>
              </w:rPr>
              <w:t>.</w:t>
            </w:r>
          </w:p>
        </w:tc>
      </w:tr>
    </w:tbl>
    <w:p w14:paraId="44AB29FF" w14:textId="77777777" w:rsidR="00E704B2" w:rsidRPr="003A0582" w:rsidRDefault="00743C16" w:rsidP="003A0582">
      <w:pPr>
        <w:pStyle w:val="Titolo1"/>
        <w:rPr>
          <w:rFonts w:ascii="Times New Roman Bold" w:hAnsi="Times New Roman Bold"/>
          <w:caps/>
          <w:smallCaps w:val="0"/>
        </w:rPr>
      </w:pPr>
      <w:bookmarkStart w:id="86" w:name="_Toc139183049"/>
      <w:r>
        <w:rPr>
          <w:rFonts w:ascii="Times New Roman Bold" w:hAnsi="Times New Roman Bold"/>
          <w:caps/>
          <w:smallCaps w:val="0"/>
        </w:rPr>
        <w:t xml:space="preserve">Procédures </w:t>
      </w:r>
      <w:bookmarkEnd w:id="86"/>
      <w:r>
        <w:rPr>
          <w:rFonts w:ascii="Times New Roman Bold" w:hAnsi="Times New Roman Bold"/>
          <w:caps/>
          <w:smallCaps w:val="0"/>
        </w:rPr>
        <w:t xml:space="preserve">d’évaluation </w:t>
      </w:r>
    </w:p>
    <w:p w14:paraId="7576FEC4" w14:textId="77777777" w:rsidR="00E704B2" w:rsidRPr="00E704B2" w:rsidRDefault="00E704B2" w:rsidP="00E704B2">
      <w:pPr>
        <w:spacing w:before="120" w:after="120" w:line="276" w:lineRule="auto"/>
        <w:jc w:val="both"/>
        <w:rPr>
          <w:rFonts w:cs="Times New Roman"/>
          <w:szCs w:val="24"/>
        </w:rPr>
      </w:pPr>
      <w:bookmarkStart w:id="87" w:name="_Toc278903681"/>
      <w:bookmarkStart w:id="88" w:name="_Toc278903707"/>
      <w:bookmarkStart w:id="89" w:name="_Toc278903971"/>
      <w:bookmarkStart w:id="90" w:name="_Toc278956364"/>
      <w:bookmarkStart w:id="91" w:name="_Toc278957667"/>
      <w:bookmarkStart w:id="92" w:name="_Toc278183584"/>
      <w:bookmarkStart w:id="93" w:name="_Toc278191366"/>
      <w:bookmarkStart w:id="94" w:name="_Toc278199270"/>
      <w:bookmarkStart w:id="95" w:name="_Toc278200061"/>
      <w:bookmarkStart w:id="96" w:name="_Toc278537871"/>
      <w:bookmarkStart w:id="97" w:name="_Toc278903682"/>
      <w:bookmarkStart w:id="98" w:name="_Toc278903708"/>
      <w:bookmarkStart w:id="99" w:name="_Toc278903972"/>
      <w:bookmarkStart w:id="100" w:name="_Toc278956365"/>
      <w:bookmarkStart w:id="101" w:name="_Toc278957668"/>
      <w:bookmarkStart w:id="102" w:name="_Toc278183585"/>
      <w:bookmarkStart w:id="103" w:name="_Toc278191367"/>
      <w:bookmarkStart w:id="104" w:name="_Toc278199271"/>
      <w:bookmarkStart w:id="105" w:name="_Toc278200062"/>
      <w:bookmarkStart w:id="106" w:name="_Toc278537872"/>
      <w:bookmarkStart w:id="107" w:name="_Toc278903683"/>
      <w:bookmarkStart w:id="108" w:name="_Toc278903709"/>
      <w:bookmarkStart w:id="109" w:name="_Toc278903973"/>
      <w:bookmarkStart w:id="110" w:name="_Toc278956366"/>
      <w:bookmarkStart w:id="111" w:name="_Toc278957669"/>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t xml:space="preserve">L’auditeur doit effectuer l’évaluation conformément aux procédures d’évaluation décrites ci-dessous, qui couvrent la documentation et les éléments probants, la planification, les travaux sur le terrain et l’établissement de rapports. L’auditeur doit exercer ses fonctions avec diligence et jugement professionnel et déterminer la nature, le calendrier et la portée des procédures d’évaluation nécessaires pour respecter les objectifs, du champ d’application et du contexte de l’évaluation. </w:t>
      </w:r>
    </w:p>
    <w:p w14:paraId="71188AF4" w14:textId="77777777" w:rsidR="00E704B2" w:rsidRPr="003A0582" w:rsidRDefault="00743C16" w:rsidP="003A0582">
      <w:pPr>
        <w:pStyle w:val="Titolo2"/>
      </w:pPr>
      <w:bookmarkStart w:id="112" w:name="_Toc277764737"/>
      <w:r>
        <w:t>Documentation relative à l’évaluation (documents de travail)</w:t>
      </w:r>
    </w:p>
    <w:p w14:paraId="5597A641" w14:textId="77777777" w:rsidR="00E704B2" w:rsidRPr="00E704B2" w:rsidRDefault="00E704B2" w:rsidP="00E704B2">
      <w:pPr>
        <w:spacing w:before="120" w:after="120" w:line="276" w:lineRule="auto"/>
        <w:jc w:val="both"/>
        <w:rPr>
          <w:rFonts w:cs="Times New Roman"/>
          <w:szCs w:val="24"/>
        </w:rPr>
      </w:pPr>
      <w:r>
        <w:t>Conformément à la norme ISAE 3000, l’auditeur prépare une documentation qui fournit:</w:t>
      </w:r>
    </w:p>
    <w:p w14:paraId="35D1EFF1" w14:textId="1A56003F" w:rsidR="00E704B2" w:rsidRPr="00E704B2" w:rsidRDefault="00E704B2" w:rsidP="00E704B2">
      <w:pPr>
        <w:autoSpaceDE w:val="0"/>
        <w:autoSpaceDN w:val="0"/>
        <w:adjustRightInd w:val="0"/>
        <w:spacing w:before="120" w:after="120" w:line="276" w:lineRule="auto"/>
        <w:ind w:left="568" w:hanging="284"/>
        <w:jc w:val="both"/>
        <w:rPr>
          <w:rFonts w:cs="Times New Roman"/>
          <w:szCs w:val="24"/>
        </w:rPr>
      </w:pPr>
      <w:r>
        <w:t>-</w:t>
      </w:r>
      <w:r>
        <w:tab/>
        <w:t>une trace écrite suffisante et appropriée des travau</w:t>
      </w:r>
      <w:r w:rsidR="0015153C">
        <w:t xml:space="preserve">x </w:t>
      </w:r>
      <w:r w:rsidR="00D82DDD">
        <w:t xml:space="preserve">supportant </w:t>
      </w:r>
      <w:r w:rsidR="0015153C">
        <w:t xml:space="preserve">son rapport d’audit </w:t>
      </w:r>
      <w:r>
        <w:t>et</w:t>
      </w:r>
    </w:p>
    <w:p w14:paraId="51EED2B5" w14:textId="77777777" w:rsidR="00E704B2" w:rsidRPr="00E704B2" w:rsidRDefault="00E704B2" w:rsidP="00E704B2">
      <w:pPr>
        <w:spacing w:before="120" w:after="120" w:line="276" w:lineRule="auto"/>
        <w:ind w:left="568" w:hanging="284"/>
        <w:jc w:val="both"/>
        <w:rPr>
          <w:rFonts w:cs="Times New Roman"/>
          <w:szCs w:val="24"/>
        </w:rPr>
      </w:pPr>
      <w:r>
        <w:t>-</w:t>
      </w:r>
      <w:r>
        <w:tab/>
        <w:t>des éléments démontrant que l’évaluation a été planifiée et effectuée selon la norme ISAE 3000 et les exigences législatives et réglementaires applicables.</w:t>
      </w:r>
    </w:p>
    <w:p w14:paraId="521641A5" w14:textId="38666748" w:rsidR="00E704B2" w:rsidRPr="00E704B2" w:rsidRDefault="00E704B2" w:rsidP="00E704B2">
      <w:pPr>
        <w:spacing w:before="120" w:after="120" w:line="276" w:lineRule="auto"/>
        <w:jc w:val="both"/>
        <w:rPr>
          <w:rFonts w:cs="Times New Roman"/>
          <w:i/>
          <w:szCs w:val="24"/>
        </w:rPr>
      </w:pPr>
      <w:r>
        <w:t xml:space="preserve">On entend par «documentation» ou «documents de travail» la trace écrite des procédures d’évaluation effectuées, des éléments probants </w:t>
      </w:r>
      <w:r w:rsidR="00D82DDD">
        <w:t xml:space="preserve">et </w:t>
      </w:r>
      <w:r>
        <w:t>pertinents recueillis et des conclusions auxquelles l’auditeur est parvenu. On entend par «dossier d’évaluation» un ou plusieurs classeurs ou autre moyen d’archivage, sous forme physique ou électronique, contenant la documentation ou les documents de travail relatifs à une mission spécifique.</w:t>
      </w:r>
    </w:p>
    <w:p w14:paraId="3AE13341" w14:textId="77777777" w:rsidR="00E704B2" w:rsidRPr="00E704B2" w:rsidRDefault="00E704B2" w:rsidP="00245847">
      <w:pPr>
        <w:pStyle w:val="Titolo2"/>
      </w:pPr>
      <w:r>
        <w:t>Éléments probants</w:t>
      </w:r>
    </w:p>
    <w:p w14:paraId="6C78160F" w14:textId="70541F44" w:rsidR="00E704B2" w:rsidRPr="00E704B2" w:rsidRDefault="00E704B2" w:rsidP="00E704B2">
      <w:pPr>
        <w:spacing w:before="120" w:after="120" w:line="276" w:lineRule="auto"/>
        <w:jc w:val="both"/>
        <w:rPr>
          <w:rFonts w:cs="Times New Roman"/>
          <w:szCs w:val="24"/>
        </w:rPr>
      </w:pPr>
      <w:r>
        <w:t xml:space="preserve">Conformément à la norme ISAE 3000, l’auditeur doit veiller à recueillir des éléments probants pour fonder sa conclusion et prouver que l’évaluation a été effectuée dans le respect du </w:t>
      </w:r>
      <w:r>
        <w:rPr>
          <w:i/>
        </w:rPr>
        <w:t>cadre conceptuel international des missions d’assurance</w:t>
      </w:r>
      <w:r>
        <w:t xml:space="preserve"> de l’IFAC et de la </w:t>
      </w:r>
      <w:r>
        <w:rPr>
          <w:i/>
        </w:rPr>
        <w:t>norme internationale des missions d’assurance 3000 («ISAE»)</w:t>
      </w:r>
      <w:r>
        <w:t xml:space="preserve"> </w:t>
      </w:r>
      <w:r>
        <w:rPr>
          <w:i/>
        </w:rPr>
        <w:t>concernant les missions d’assurance autres que les missions d’audit ou d’examen limité d’informations financières historiques</w:t>
      </w:r>
      <w:r w:rsidR="00D82DDD">
        <w:rPr>
          <w:i/>
        </w:rPr>
        <w:t xml:space="preserve"> (révisée)</w:t>
      </w:r>
      <w:r>
        <w:t>.</w:t>
      </w:r>
    </w:p>
    <w:p w14:paraId="61E6D204" w14:textId="77777777" w:rsidR="00DE1E49" w:rsidRDefault="00E704B2" w:rsidP="00DE1E49">
      <w:pPr>
        <w:spacing w:before="120" w:after="120" w:line="276" w:lineRule="auto"/>
        <w:jc w:val="both"/>
        <w:rPr>
          <w:rFonts w:cs="Times New Roman"/>
          <w:szCs w:val="24"/>
        </w:rPr>
      </w:pPr>
      <w:r>
        <w:t xml:space="preserve">L’auditeur doit recueillir des éléments probants suffisants et appropriés pour étayer les constatations de l’évaluation et parvenir à des conclusions raisonnables sur lesquelles fonder les conclusions de son évaluation. L’auditeur exerce son jugement professionnel pour déterminer ce qui constitue des éléments probants appropriés suffisants. </w:t>
      </w:r>
    </w:p>
    <w:p w14:paraId="6C5DC658" w14:textId="6F13DEC8" w:rsidR="00E704B2" w:rsidRPr="00DE1E49" w:rsidRDefault="00E704B2" w:rsidP="00DE1E49">
      <w:pPr>
        <w:spacing w:before="120" w:after="120" w:line="276" w:lineRule="auto"/>
        <w:jc w:val="both"/>
        <w:rPr>
          <w:i/>
        </w:rPr>
      </w:pPr>
      <w:r>
        <w:rPr>
          <w:i/>
        </w:rPr>
        <w:t>Accès aux dossiers et aux documents de l’organisation</w:t>
      </w:r>
    </w:p>
    <w:p w14:paraId="648F1CE5" w14:textId="38A20B5F" w:rsidR="00E704B2" w:rsidRPr="00E704B2" w:rsidRDefault="00E704B2" w:rsidP="00E704B2">
      <w:pPr>
        <w:spacing w:before="120" w:after="120" w:line="276" w:lineRule="auto"/>
        <w:jc w:val="both"/>
        <w:rPr>
          <w:rFonts w:cs="Times New Roman"/>
          <w:b/>
          <w:i/>
          <w:szCs w:val="24"/>
        </w:rPr>
      </w:pPr>
      <w:r>
        <w:t>L’auditeur doit pouvoir disposer, en permanence, d’un accès total et illimité à tous les registres et documents (y compris les pièces comptables, les contrats, les comptes rendus des réunions, les documents bancaires, les factures, etc.) ainsi qu'aux salariés et aux locaux de l’organisation, dans la mesure où cela se révèle possible et utile pour l’évaluation. I</w:t>
      </w:r>
      <w:r w:rsidR="007759BC">
        <w:t>l/Elle</w:t>
      </w:r>
      <w:r>
        <w:t xml:space="preserve"> peut demander à l’organisation de le</w:t>
      </w:r>
      <w:r w:rsidR="007759BC">
        <w:t>/la</w:t>
      </w:r>
      <w:r>
        <w:t xml:space="preserve"> mettre en contact avec ses banques (par exemple, pour demander une confirmation bancaire), ses consultants</w:t>
      </w:r>
      <w:r w:rsidR="00EE202B">
        <w:t>, d’</w:t>
      </w:r>
      <w:r>
        <w:t>autres</w:t>
      </w:r>
      <w:r w:rsidR="00EE202B">
        <w:t xml:space="preserve"> parties prenantes</w:t>
      </w:r>
      <w:r>
        <w:t xml:space="preserve"> ou avec des sociétés engagées par l’organisation.</w:t>
      </w:r>
    </w:p>
    <w:p w14:paraId="61547201" w14:textId="77777777" w:rsidR="00E704B2" w:rsidRPr="00DC6E69" w:rsidRDefault="00DC6E69" w:rsidP="003A0582">
      <w:pPr>
        <w:pStyle w:val="Titolo2"/>
      </w:pPr>
      <w:r>
        <w:t>Planification</w:t>
      </w:r>
    </w:p>
    <w:p w14:paraId="7FA67104" w14:textId="77777777" w:rsidR="00E704B2" w:rsidRPr="00E704B2" w:rsidRDefault="00E704B2" w:rsidP="003A0582">
      <w:pPr>
        <w:pStyle w:val="Titolo3"/>
      </w:pPr>
      <w:r>
        <w:t>Réunion préparatoire avec l’organisation</w:t>
      </w:r>
    </w:p>
    <w:p w14:paraId="2F4AB2CC" w14:textId="3B9B0850" w:rsidR="00E704B2" w:rsidRPr="00E704B2" w:rsidRDefault="00185416" w:rsidP="00E704B2">
      <w:pPr>
        <w:spacing w:before="120" w:after="120" w:line="276" w:lineRule="auto"/>
        <w:jc w:val="both"/>
        <w:rPr>
          <w:rFonts w:cs="Times New Roman"/>
          <w:szCs w:val="24"/>
        </w:rPr>
      </w:pPr>
      <w:r>
        <w:t xml:space="preserve">L’évaluation devrait </w:t>
      </w:r>
      <w:r w:rsidR="00EE202B">
        <w:t xml:space="preserve">débuter </w:t>
      </w:r>
      <w:r>
        <w:t>par une réunion préliminaire entre</w:t>
      </w:r>
      <w:r w:rsidR="0015153C">
        <w:t xml:space="preserve"> l’auditeur et l’organisation. </w:t>
      </w:r>
      <w:r>
        <w:t>Cette réunion a pour objet de procéder à un échange de vues sur la planification, les travaux sur le terrain ainsi que sur l’établissement du rapport d’évaluation, et de clarifier les points restés en suspens. À l’occasion de la réunion préparatoire, l’auditeur est autorisé à demander les informations et les documents complémentaires qu’il</w:t>
      </w:r>
      <w:r w:rsidR="00EE202B">
        <w:t>/elle</w:t>
      </w:r>
      <w:r>
        <w:t xml:space="preserve"> estime nécessaires ou utiles pour la planification et les travaux sur le terrain de l’évaluation.</w:t>
      </w:r>
    </w:p>
    <w:p w14:paraId="5FB9F7D3" w14:textId="77777777" w:rsidR="00E704B2" w:rsidRPr="00E704B2" w:rsidRDefault="00E704B2" w:rsidP="009A33A6">
      <w:pPr>
        <w:pStyle w:val="Titolo3"/>
      </w:pPr>
      <w:r>
        <w:t>Activités de planification, plan d’évaluation et programmes de travail relatifs à l’évaluation</w:t>
      </w:r>
    </w:p>
    <w:p w14:paraId="7C6550EF" w14:textId="459AC5DF" w:rsidR="00E704B2" w:rsidRPr="00E704B2" w:rsidRDefault="00E704B2" w:rsidP="00E704B2">
      <w:pPr>
        <w:spacing w:before="120" w:after="120" w:line="276" w:lineRule="auto"/>
        <w:jc w:val="both"/>
        <w:rPr>
          <w:rFonts w:cs="Times New Roman"/>
          <w:szCs w:val="24"/>
        </w:rPr>
      </w:pPr>
      <w:r>
        <w:t xml:space="preserve">L’auditeur doit planifier son évaluation afin de pouvoir l’exécuter de manière efficace et efficiente. Une planification adéquate implique de consacrer une attention appropriée aux domaines d’évaluation importants, de détecter et de résoudre en temps </w:t>
      </w:r>
      <w:r w:rsidR="003C22C1">
        <w:t xml:space="preserve">voulu </w:t>
      </w:r>
      <w:r>
        <w:t xml:space="preserve">les problèmes potentiels et d’organiser et de gérer correctement l’évaluation pour qu’elle soit effectuée de manière efficace et efficiente. </w:t>
      </w:r>
    </w:p>
    <w:p w14:paraId="55DEE79F" w14:textId="7ECF7D1F" w:rsidR="00E704B2" w:rsidRPr="00E704B2" w:rsidRDefault="00E704B2" w:rsidP="00E704B2">
      <w:pPr>
        <w:spacing w:before="120" w:after="120" w:line="276" w:lineRule="auto"/>
        <w:jc w:val="both"/>
        <w:rPr>
          <w:rFonts w:cs="Times New Roman"/>
          <w:szCs w:val="24"/>
        </w:rPr>
      </w:pPr>
      <w:r>
        <w:t xml:space="preserve">L’auditeur doit disposer d’un plan d’évaluation (ou d’un document de planification analogue, tel qu’un plan de travail ou un plan d’enquête) documentant l’approche adoptée pour </w:t>
      </w:r>
      <w:r w:rsidR="003C22C1">
        <w:t xml:space="preserve">mener </w:t>
      </w:r>
      <w:r>
        <w:t>l’évaluation et les principes fondamentaux relatifs à la planification et aux travaux sur le terrain, de même qu’à l’établissement du rapport. Il</w:t>
      </w:r>
      <w:r w:rsidR="003C22C1">
        <w:t>/Elle</w:t>
      </w:r>
      <w:r>
        <w:t xml:space="preserve"> doit avoir rédigé des programmes de travail qui détaillent et documentent les tests et procédures d’évaluation.</w:t>
      </w:r>
    </w:p>
    <w:p w14:paraId="63688FE8" w14:textId="77777777" w:rsidR="00E704B2" w:rsidRPr="00E704B2" w:rsidRDefault="00E704B2" w:rsidP="009A33A6">
      <w:pPr>
        <w:pStyle w:val="Titolo2"/>
      </w:pPr>
      <w:bookmarkStart w:id="113" w:name="_Toc11338490"/>
      <w:bookmarkEnd w:id="113"/>
      <w:r>
        <w:t>Travaux sur le terrain</w:t>
      </w:r>
    </w:p>
    <w:p w14:paraId="68E1AA89" w14:textId="723B71E8" w:rsidR="00C05009" w:rsidRDefault="00C05009" w:rsidP="00C05009">
      <w:pPr>
        <w:pStyle w:val="Titolo3"/>
      </w:pPr>
      <w:r>
        <w:t>Tests des systèmes, des contrôles et des procédures</w:t>
      </w:r>
    </w:p>
    <w:p w14:paraId="6A94081E" w14:textId="767590F7" w:rsidR="00C05009" w:rsidRPr="00DE1E49" w:rsidRDefault="00C05009" w:rsidP="00C730E9">
      <w:pPr>
        <w:jc w:val="both"/>
      </w:pPr>
      <w:r>
        <w:t xml:space="preserve">Le champ d’application des travaux doit inclure une évaluation visant à déterminer si les systèmes, contrôles, règles et procédures pertinents sont conçus de manière appropriée et, </w:t>
      </w:r>
      <w:r w:rsidR="00FD58E2">
        <w:t>si nécessaire</w:t>
      </w:r>
      <w:r>
        <w:t>, s’ils fonctionnent efficacement. Cette question est traitée à l’</w:t>
      </w:r>
      <w:r>
        <w:rPr>
          <w:b/>
          <w:i/>
        </w:rPr>
        <w:t>annexe 3</w:t>
      </w:r>
      <w:r>
        <w:rPr>
          <w:i/>
        </w:rPr>
        <w:t xml:space="preserve"> Questionnaire d’évaluation</w:t>
      </w:r>
      <w:r>
        <w:t xml:space="preserve"> par l’utilisation de la lettre </w:t>
      </w:r>
      <w:r w:rsidR="00184F06" w:rsidRPr="001F66AA">
        <w:rPr>
          <w:b/>
        </w:rPr>
        <w:t xml:space="preserve">C </w:t>
      </w:r>
      <w:r>
        <w:t xml:space="preserve">(pour </w:t>
      </w:r>
      <w:r w:rsidR="00FD58E2">
        <w:t>l’</w:t>
      </w:r>
      <w:r>
        <w:t xml:space="preserve">évaluation de la conception) et de la lettre </w:t>
      </w:r>
      <w:r>
        <w:rPr>
          <w:b/>
        </w:rPr>
        <w:t>E</w:t>
      </w:r>
      <w:r>
        <w:t xml:space="preserve"> (pour l’évaluation de l’efficacité) en rapport avec chaque critère.</w:t>
      </w:r>
    </w:p>
    <w:p w14:paraId="3D65AC9F" w14:textId="254D904C" w:rsidR="00E704B2" w:rsidRPr="00E704B2" w:rsidRDefault="00C05009" w:rsidP="00C05009">
      <w:pPr>
        <w:pStyle w:val="Titolo3"/>
      </w:pPr>
      <w:r>
        <w:t>Évaluer l’adéquation de la conception des contrôles et des systèmes en place</w:t>
      </w:r>
    </w:p>
    <w:p w14:paraId="009C147A" w14:textId="2BA56F41" w:rsidR="00E704B2" w:rsidRPr="00E704B2" w:rsidRDefault="00E704B2" w:rsidP="00E704B2">
      <w:pPr>
        <w:spacing w:before="120" w:after="120" w:line="276" w:lineRule="auto"/>
        <w:jc w:val="both"/>
        <w:rPr>
          <w:rFonts w:cs="Times New Roman"/>
          <w:szCs w:val="24"/>
        </w:rPr>
      </w:pPr>
      <w:r>
        <w:t>Le champ d’application des travaux doit inclure une évaluation de l’</w:t>
      </w:r>
      <w:r>
        <w:rPr>
          <w:b/>
        </w:rPr>
        <w:t>adéquation de</w:t>
      </w:r>
      <w:r>
        <w:t xml:space="preserve"> </w:t>
      </w:r>
      <w:r>
        <w:rPr>
          <w:b/>
        </w:rPr>
        <w:t>la conception</w:t>
      </w:r>
      <w:r>
        <w:t xml:space="preserve"> des systèmes, contrôles, règles et procédures pertinents à l’égard de la question examinée.</w:t>
      </w:r>
    </w:p>
    <w:p w14:paraId="7ECA2F15" w14:textId="1747579B" w:rsidR="00E704B2" w:rsidRPr="00E704B2" w:rsidRDefault="00E704B2" w:rsidP="0098038F">
      <w:pPr>
        <w:autoSpaceDE w:val="0"/>
        <w:autoSpaceDN w:val="0"/>
        <w:adjustRightInd w:val="0"/>
        <w:spacing w:before="120" w:after="120" w:line="276" w:lineRule="auto"/>
        <w:jc w:val="both"/>
        <w:rPr>
          <w:rFonts w:cs="Times New Roman"/>
          <w:szCs w:val="24"/>
        </w:rPr>
      </w:pPr>
      <w:r>
        <w:t xml:space="preserve">Les procédures permettant de </w:t>
      </w:r>
      <w:r w:rsidR="00890500">
        <w:t>comprendre</w:t>
      </w:r>
      <w:r>
        <w:t xml:space="preserve"> la conception des systèmes, contrôles, règles et procédures peuvent inclure:</w:t>
      </w:r>
    </w:p>
    <w:p w14:paraId="2D7D43A0" w14:textId="608E2BF1" w:rsidR="00E704B2" w:rsidRPr="00E704B2" w:rsidRDefault="002123CF" w:rsidP="0098038F">
      <w:pPr>
        <w:numPr>
          <w:ilvl w:val="0"/>
          <w:numId w:val="17"/>
        </w:numPr>
        <w:spacing w:before="120" w:after="120" w:line="240" w:lineRule="auto"/>
        <w:jc w:val="both"/>
        <w:rPr>
          <w:rFonts w:cs="Times New Roman"/>
          <w:szCs w:val="24"/>
        </w:rPr>
      </w:pPr>
      <w:r>
        <w:t>une enquête auprès des membres du personnel de l’organisation susceptibles de disposer d'informations utiles;</w:t>
      </w:r>
    </w:p>
    <w:p w14:paraId="39980E0B" w14:textId="0BABABE0" w:rsidR="00E704B2" w:rsidRPr="00E704B2" w:rsidRDefault="00E704B2" w:rsidP="00890500">
      <w:pPr>
        <w:pStyle w:val="Bullet0"/>
      </w:pPr>
      <w:r>
        <w:t>l’examen des descriptions, si elles sont disponibles</w:t>
      </w:r>
      <w:r w:rsidR="00890500">
        <w:t>, afin de</w:t>
      </w:r>
      <w:r>
        <w:t xml:space="preserve"> vérifier qu’elles présentent objectivement les systèmes, contrôles, règles et procédures qui ont été conçus et mis en place par l’organisation</w:t>
      </w:r>
      <w:r w:rsidR="00890500">
        <w:t>. L</w:t>
      </w:r>
      <w:r>
        <w:t xml:space="preserve">es procédures de contrôle </w:t>
      </w:r>
      <w:r w:rsidR="00890500">
        <w:t>décrites</w:t>
      </w:r>
      <w:r>
        <w:t xml:space="preserve"> fidèlement n’omettent pas</w:t>
      </w:r>
      <w:r w:rsidR="00890500">
        <w:t>,</w:t>
      </w:r>
      <w:r>
        <w:t xml:space="preserve"> ni ne faussent</w:t>
      </w:r>
      <w:r w:rsidR="00890500">
        <w:t>,</w:t>
      </w:r>
      <w:r>
        <w:t xml:space="preserve"> les informations importantes susceptibles d’avoir une incidence sur l’évaluation du contrôle</w:t>
      </w:r>
      <w:r w:rsidR="00F9301A">
        <w:t xml:space="preserve"> du</w:t>
      </w:r>
      <w:r w:rsidR="00890500">
        <w:t xml:space="preserve"> risque.</w:t>
      </w:r>
    </w:p>
    <w:p w14:paraId="195F8953" w14:textId="57C2D558" w:rsidR="00E704B2" w:rsidRPr="00E704B2" w:rsidRDefault="00E704B2" w:rsidP="0098038F">
      <w:pPr>
        <w:numPr>
          <w:ilvl w:val="0"/>
          <w:numId w:val="17"/>
        </w:numPr>
        <w:spacing w:before="120" w:after="120" w:line="240" w:lineRule="auto"/>
        <w:jc w:val="both"/>
        <w:rPr>
          <w:rFonts w:cs="Times New Roman"/>
          <w:szCs w:val="24"/>
        </w:rPr>
      </w:pPr>
      <w:r>
        <w:t xml:space="preserve">l’examen des documents juridiques et réglementaires (par exemple, les lois, règlements, contrats et accords), des instructions et des </w:t>
      </w:r>
      <w:r w:rsidR="00890500">
        <w:t>directives</w:t>
      </w:r>
      <w:r>
        <w:t xml:space="preserve"> internes (par exemple, les règles </w:t>
      </w:r>
      <w:r w:rsidR="00890500">
        <w:t>opérationnelles</w:t>
      </w:r>
      <w:r>
        <w:t>, les manuels relatifs aux contrôles internes, etc.) et de tout autre document que l’auditeur peut considérer pertinent;</w:t>
      </w:r>
    </w:p>
    <w:p w14:paraId="0123FA04" w14:textId="4CE753D9" w:rsidR="00E704B2" w:rsidRPr="00E704B2" w:rsidRDefault="00E704B2" w:rsidP="0098038F">
      <w:pPr>
        <w:numPr>
          <w:ilvl w:val="0"/>
          <w:numId w:val="17"/>
        </w:numPr>
        <w:spacing w:before="120" w:after="120" w:line="240" w:lineRule="auto"/>
        <w:jc w:val="both"/>
        <w:rPr>
          <w:rFonts w:cs="Times New Roman"/>
          <w:szCs w:val="24"/>
        </w:rPr>
      </w:pPr>
      <w:r>
        <w:t>l’observation des opérations et le contrôle des documents, des rapports, des documents imprimés et électroniques du traitement de transactions, des procédures comptables (par exemple, le rapprochement bancaire) et des autres procédures importantes relatives à l’approbation et au contrôle interne (par exemple, les rapports périodiques relatifs aux dépenses, les comparaisons entre le budget et la réalité, l’examen et l’approbation des relevés des heures de travail, etc.), des documents relatifs au cadre réglementaire de l'organisation pour les audits externes, des documents relatifs aux procédures d’octroi de subventions et de passation de marchés</w:t>
      </w:r>
      <w:r w:rsidR="004A7253">
        <w:t xml:space="preserve"> publics</w:t>
      </w:r>
      <w:r>
        <w:t>, des documents relatifs aux instruments financiers et aux transactions sur instruments financiers etc.;</w:t>
      </w:r>
    </w:p>
    <w:p w14:paraId="5C3B1C28" w14:textId="7EDA6EB5" w:rsidR="00E704B2" w:rsidRPr="00E704B2" w:rsidRDefault="00184F06" w:rsidP="0098038F">
      <w:pPr>
        <w:numPr>
          <w:ilvl w:val="0"/>
          <w:numId w:val="17"/>
        </w:numPr>
        <w:spacing w:before="120" w:after="120" w:line="240" w:lineRule="auto"/>
        <w:jc w:val="both"/>
        <w:rPr>
          <w:rFonts w:cs="Times New Roman"/>
          <w:szCs w:val="24"/>
        </w:rPr>
      </w:pPr>
      <w:r>
        <w:t>effectuer à</w:t>
      </w:r>
      <w:r w:rsidR="00E704B2">
        <w:t xml:space="preserve"> nouveau les contrôles et les procédures.</w:t>
      </w:r>
    </w:p>
    <w:p w14:paraId="62B406EB" w14:textId="1CD614C3" w:rsidR="00E704B2" w:rsidRDefault="00E704B2" w:rsidP="0098038F">
      <w:pPr>
        <w:autoSpaceDE w:val="0"/>
        <w:autoSpaceDN w:val="0"/>
        <w:adjustRightInd w:val="0"/>
        <w:spacing w:before="120" w:after="120" w:line="276" w:lineRule="auto"/>
        <w:jc w:val="both"/>
        <w:rPr>
          <w:rFonts w:cs="Times New Roman"/>
          <w:szCs w:val="24"/>
        </w:rPr>
      </w:pPr>
      <w:r>
        <w:t xml:space="preserve">Il est possible que l’auditeur envisage d’utiliser des graphiques ou des questionnaires pour faciliter </w:t>
      </w:r>
      <w:r w:rsidR="00184F06">
        <w:t>l’</w:t>
      </w:r>
      <w:r>
        <w:t>évaluation de la conception des contrôles, des règles et des procédures.</w:t>
      </w:r>
    </w:p>
    <w:p w14:paraId="5E223A35" w14:textId="791A8FB8" w:rsidR="00C05009" w:rsidRPr="00C05009" w:rsidRDefault="00C05009" w:rsidP="00C05009">
      <w:pPr>
        <w:autoSpaceDE w:val="0"/>
        <w:autoSpaceDN w:val="0"/>
        <w:adjustRightInd w:val="0"/>
        <w:spacing w:before="120" w:after="120" w:line="276" w:lineRule="auto"/>
        <w:jc w:val="both"/>
        <w:rPr>
          <w:rFonts w:cs="Times New Roman"/>
          <w:i/>
          <w:szCs w:val="24"/>
        </w:rPr>
      </w:pPr>
      <w:r>
        <w:t>En cas d’omission ou d’inexactitude concernant les objectifs du contrôle, [l’auditeur] demandera à [l’organisation] de modifier la description. Si elle n’est pas modifiée, [l’auditeur] examinera la nécessité de l’indiquer dans son rapport.</w:t>
      </w:r>
    </w:p>
    <w:p w14:paraId="4DA0799F" w14:textId="4BE12381" w:rsidR="00E704B2" w:rsidRPr="00DA7E14" w:rsidRDefault="00C05009" w:rsidP="0098038F">
      <w:pPr>
        <w:keepLines/>
        <w:spacing w:before="120" w:after="120" w:line="276" w:lineRule="auto"/>
        <w:jc w:val="both"/>
        <w:rPr>
          <w:rFonts w:cs="Times New Roman"/>
          <w:i/>
          <w:szCs w:val="24"/>
        </w:rPr>
      </w:pPr>
      <w:r>
        <w:t xml:space="preserve"> «</w:t>
      </w:r>
      <w:r>
        <w:rPr>
          <w:i/>
        </w:rPr>
        <w:t xml:space="preserve">Une procédure de contrôle est </w:t>
      </w:r>
      <w:r>
        <w:rPr>
          <w:b/>
          <w:i/>
        </w:rPr>
        <w:t>correctement conçue</w:t>
      </w:r>
      <w:r>
        <w:rPr>
          <w:i/>
        </w:rPr>
        <w:t xml:space="preserve"> si, individuellement ou en combinaison avec d’autres procédures de contrôle, elle est susceptible de prévenir ou de détecter des erreurs qui pourraient entraîner la non-réalisation des objectifs de contrôle définis lorsque les procédures de contrôle décrites sont respectées.     </w:t>
      </w:r>
    </w:p>
    <w:p w14:paraId="2066A2D4" w14:textId="5C1AE672" w:rsidR="00E704B2" w:rsidRPr="00DA7E14" w:rsidRDefault="00E704B2" w:rsidP="0098038F">
      <w:pPr>
        <w:keepLines/>
        <w:spacing w:before="120" w:after="120" w:line="276" w:lineRule="auto"/>
        <w:jc w:val="both"/>
        <w:rPr>
          <w:rFonts w:cs="Times New Roman"/>
          <w:i/>
          <w:szCs w:val="24"/>
        </w:rPr>
      </w:pPr>
      <w:r>
        <w:rPr>
          <w:i/>
        </w:rPr>
        <w:t xml:space="preserve">L’évaluation (...) de l’adéquation de la conception de la procédure de contrôle peut être effectuée: </w:t>
      </w:r>
    </w:p>
    <w:p w14:paraId="1C816AB2" w14:textId="720E0C95" w:rsidR="00E704B2" w:rsidRPr="00B01B76" w:rsidRDefault="00E704B2" w:rsidP="0098038F">
      <w:pPr>
        <w:keepLines/>
        <w:spacing w:before="120" w:after="120" w:line="276" w:lineRule="auto"/>
        <w:jc w:val="both"/>
        <w:rPr>
          <w:rFonts w:cs="Times New Roman"/>
          <w:i/>
          <w:szCs w:val="24"/>
        </w:rPr>
      </w:pPr>
      <w:r>
        <w:rPr>
          <w:i/>
        </w:rPr>
        <w:t xml:space="preserve">• par l’examen du lien entre les procédures de contrôle et les objectifs de contrôle correspondants;  </w:t>
      </w:r>
    </w:p>
    <w:p w14:paraId="2BE6F3AD" w14:textId="73E8DE4E" w:rsidR="00E704B2" w:rsidRPr="007B424F" w:rsidRDefault="00E704B2" w:rsidP="0098038F">
      <w:pPr>
        <w:keepLines/>
        <w:spacing w:before="120" w:after="120" w:line="276" w:lineRule="auto"/>
        <w:jc w:val="both"/>
        <w:rPr>
          <w:rFonts w:cs="Times New Roman"/>
          <w:i/>
          <w:szCs w:val="24"/>
        </w:rPr>
      </w:pPr>
      <w:r>
        <w:rPr>
          <w:i/>
        </w:rPr>
        <w:t xml:space="preserve">• par l’examen de la capacité des procédures de contrôle à prévenir ou à détecter les erreurs liées aux objectifs de contrôle;  </w:t>
      </w:r>
    </w:p>
    <w:p w14:paraId="561EF27D" w14:textId="46AEC143" w:rsidR="00E704B2" w:rsidRPr="000C4935" w:rsidRDefault="00E704B2" w:rsidP="0098038F">
      <w:pPr>
        <w:keepLines/>
        <w:spacing w:before="120" w:after="120" w:line="276" w:lineRule="auto"/>
        <w:jc w:val="both"/>
        <w:rPr>
          <w:rFonts w:cs="Times New Roman"/>
          <w:i/>
          <w:szCs w:val="24"/>
        </w:rPr>
      </w:pPr>
      <w:r>
        <w:rPr>
          <w:i/>
        </w:rPr>
        <w:t xml:space="preserve">• en effectuant des mises à l’essai des transactions et des procédures de contrôle sélectionnées; et  </w:t>
      </w:r>
    </w:p>
    <w:p w14:paraId="7C49798D" w14:textId="0F011086" w:rsidR="00E704B2" w:rsidRPr="0098038F" w:rsidRDefault="00E704B2" w:rsidP="0098038F">
      <w:pPr>
        <w:keepLines/>
        <w:spacing w:before="120" w:after="120" w:line="276" w:lineRule="auto"/>
        <w:jc w:val="both"/>
        <w:rPr>
          <w:rFonts w:cs="Times New Roman"/>
          <w:szCs w:val="24"/>
        </w:rPr>
      </w:pPr>
      <w:r>
        <w:rPr>
          <w:i/>
        </w:rPr>
        <w:t>• par la mise en œuvre de procédures complémentaires, telles que la réalisation d’une enquête auprès du personnel approprié de l’entité, l’examen des documents et des rapports et l’observation de l’application de procédures de contrôle spécifiques, afin de déterminer si elles sont i) convenablement conçues pour atteindre les objectifs de contrôle définis et ii) si elles sont appliquées comme prescrit, par des personnes dûment qualifiées ou expérimentées</w:t>
      </w:r>
      <w:r>
        <w:t>.»</w:t>
      </w:r>
      <w:r>
        <w:rPr>
          <w:vertAlign w:val="superscript"/>
        </w:rPr>
        <w:footnoteReference w:id="2"/>
      </w:r>
      <w:r>
        <w:t xml:space="preserve">  </w:t>
      </w:r>
    </w:p>
    <w:p w14:paraId="397B527C" w14:textId="05B96A48" w:rsidR="00C05009" w:rsidRDefault="00C05009" w:rsidP="00DE1E49">
      <w:pPr>
        <w:pStyle w:val="Titolo3"/>
      </w:pPr>
      <w:r>
        <w:t>Évaluer l’efficacité opérationnelle des contrôles et des systèmes mis en place</w:t>
      </w:r>
    </w:p>
    <w:p w14:paraId="29C915C1" w14:textId="36E396CF" w:rsidR="00E704B2" w:rsidRPr="0098038F" w:rsidRDefault="00E704B2" w:rsidP="0098038F">
      <w:pPr>
        <w:autoSpaceDE w:val="0"/>
        <w:autoSpaceDN w:val="0"/>
        <w:adjustRightInd w:val="0"/>
        <w:spacing w:before="120" w:after="120" w:line="276" w:lineRule="auto"/>
        <w:jc w:val="both"/>
        <w:rPr>
          <w:rFonts w:cs="Times New Roman"/>
          <w:szCs w:val="24"/>
        </w:rPr>
      </w:pPr>
      <w:r>
        <w:t xml:space="preserve">Un système, un contrôle, une procédure ou une règle </w:t>
      </w:r>
      <w:r>
        <w:rPr>
          <w:b/>
        </w:rPr>
        <w:t>est efficace</w:t>
      </w:r>
      <w:r>
        <w:t xml:space="preserve"> si, seul(e) ou en association avec d’autres systèmes, contrôles, règles ou procédures, il/elle assure raisonnablement que: </w:t>
      </w:r>
    </w:p>
    <w:p w14:paraId="22544696" w14:textId="7EA1CC0E" w:rsidR="00E704B2" w:rsidRPr="0010648D" w:rsidRDefault="00E704B2" w:rsidP="0098038F">
      <w:pPr>
        <w:numPr>
          <w:ilvl w:val="0"/>
          <w:numId w:val="17"/>
        </w:numPr>
        <w:spacing w:before="120" w:after="120" w:line="240" w:lineRule="auto"/>
        <w:jc w:val="both"/>
        <w:rPr>
          <w:rFonts w:cs="Times New Roman"/>
          <w:szCs w:val="24"/>
        </w:rPr>
      </w:pPr>
      <w:r>
        <w:t>les objectifs de l’organisation (par exemple, les objectifs du système de contrôle interne ou d’une procédure d’octroi de subventions ou de passation de marchés</w:t>
      </w:r>
      <w:r w:rsidR="004A7253">
        <w:t xml:space="preserve"> publics</w:t>
      </w:r>
      <w:r>
        <w:t>) sont atteints, et plus particulièrement, que les risques liés à la réalisation des objectifs font l’objet d’une gestion et d’un contrôle appropriés;</w:t>
      </w:r>
    </w:p>
    <w:p w14:paraId="1624A82F" w14:textId="77777777" w:rsidR="00E704B2" w:rsidRPr="0010648D" w:rsidRDefault="00E704B2" w:rsidP="00EF2416">
      <w:pPr>
        <w:numPr>
          <w:ilvl w:val="0"/>
          <w:numId w:val="17"/>
        </w:numPr>
        <w:spacing w:before="120" w:after="120" w:line="240" w:lineRule="auto"/>
        <w:jc w:val="both"/>
        <w:rPr>
          <w:rFonts w:cs="Times New Roman"/>
          <w:szCs w:val="24"/>
        </w:rPr>
      </w:pPr>
      <w:r>
        <w:t>les risques d’erreurs, d’irrégularités, de fraudes et de fautes professionnelles sont évités, détectés et corrigés de manière adéquate et rapide.</w:t>
      </w:r>
    </w:p>
    <w:p w14:paraId="1754D5B0" w14:textId="77777777" w:rsidR="00E704B2" w:rsidRPr="0010648D" w:rsidRDefault="00E704B2" w:rsidP="00E704B2">
      <w:pPr>
        <w:autoSpaceDE w:val="0"/>
        <w:autoSpaceDN w:val="0"/>
        <w:adjustRightInd w:val="0"/>
        <w:spacing w:before="120" w:after="120" w:line="276" w:lineRule="auto"/>
        <w:ind w:left="284" w:hanging="284"/>
        <w:jc w:val="both"/>
        <w:rPr>
          <w:rFonts w:cs="Times New Roman"/>
          <w:color w:val="000000"/>
          <w:szCs w:val="24"/>
        </w:rPr>
      </w:pPr>
      <w:r>
        <w:rPr>
          <w:color w:val="000000"/>
        </w:rPr>
        <w:t>Lorsqu’il conçoit et exécute des tests de contrôles, l’auditeur doit:</w:t>
      </w:r>
    </w:p>
    <w:p w14:paraId="2C9686C6" w14:textId="77777777" w:rsidR="00E704B2" w:rsidRPr="0010648D" w:rsidRDefault="00E704B2" w:rsidP="00EF2416">
      <w:pPr>
        <w:numPr>
          <w:ilvl w:val="0"/>
          <w:numId w:val="17"/>
        </w:numPr>
        <w:spacing w:before="120" w:after="120" w:line="240" w:lineRule="auto"/>
        <w:jc w:val="both"/>
        <w:rPr>
          <w:rFonts w:cs="Times New Roman"/>
          <w:szCs w:val="24"/>
        </w:rPr>
      </w:pPr>
      <w:r>
        <w:t>effectuer d’autres procédures en plus des demandes d’informations afin d’obtenir des éléments probants concernant:</w:t>
      </w:r>
    </w:p>
    <w:p w14:paraId="25BD187F" w14:textId="541D4A88" w:rsidR="00E704B2" w:rsidRPr="0010648D" w:rsidRDefault="00E704B2" w:rsidP="00E704B2">
      <w:pPr>
        <w:spacing w:before="120" w:after="120" w:line="240" w:lineRule="auto"/>
        <w:ind w:left="850"/>
        <w:jc w:val="both"/>
        <w:rPr>
          <w:rFonts w:cs="Times New Roman"/>
          <w:szCs w:val="24"/>
        </w:rPr>
      </w:pPr>
      <w:r>
        <w:t>-</w:t>
      </w:r>
      <w:r>
        <w:tab/>
        <w:t>le mode de fonctionnement d’un système ou la manière dont un contrôle, une règle ou une procédure a été appliqué(e);</w:t>
      </w:r>
    </w:p>
    <w:p w14:paraId="62618D50" w14:textId="02C11A41" w:rsidR="00E704B2" w:rsidRPr="0010648D" w:rsidRDefault="00E704B2" w:rsidP="00E704B2">
      <w:pPr>
        <w:spacing w:before="120" w:after="120" w:line="240" w:lineRule="auto"/>
        <w:ind w:left="850"/>
        <w:jc w:val="both"/>
        <w:rPr>
          <w:rFonts w:cs="Times New Roman"/>
          <w:szCs w:val="24"/>
        </w:rPr>
      </w:pPr>
      <w:r>
        <w:t>-</w:t>
      </w:r>
      <w:r>
        <w:tab/>
        <w:t>la cohérence caractérisant le fonctionnement d’un système ou le mode d’application d’un contrôle, d’une règle ou d’une procédure, sur une période donnée, et</w:t>
      </w:r>
    </w:p>
    <w:p w14:paraId="53771359" w14:textId="640C7AB6" w:rsidR="00E704B2" w:rsidRPr="0010648D" w:rsidRDefault="00E704B2" w:rsidP="00E704B2">
      <w:pPr>
        <w:spacing w:before="120" w:after="120" w:line="240" w:lineRule="auto"/>
        <w:ind w:left="850"/>
        <w:jc w:val="both"/>
        <w:rPr>
          <w:rFonts w:cs="Times New Roman"/>
          <w:szCs w:val="24"/>
        </w:rPr>
      </w:pPr>
      <w:r>
        <w:t>-</w:t>
      </w:r>
      <w:r>
        <w:tab/>
        <w:t>les personnes ou les moyens par lesquels les contrôles, les procédures ou les règles ont été appliqué(e)s;</w:t>
      </w:r>
    </w:p>
    <w:p w14:paraId="1A2E1CA5" w14:textId="77777777" w:rsidR="00E704B2" w:rsidRPr="0010648D" w:rsidRDefault="00E704B2" w:rsidP="00EF2416">
      <w:pPr>
        <w:numPr>
          <w:ilvl w:val="0"/>
          <w:numId w:val="17"/>
        </w:numPr>
        <w:spacing w:before="120" w:after="120" w:line="240" w:lineRule="auto"/>
        <w:jc w:val="both"/>
        <w:rPr>
          <w:rFonts w:cs="Times New Roman"/>
          <w:szCs w:val="24"/>
        </w:rPr>
      </w:pPr>
      <w:r>
        <w:t>déterminer des modes de sélection des éléments à contrôler permettant d’atteindre efficacement les objectifs de la procédure.</w:t>
      </w:r>
    </w:p>
    <w:p w14:paraId="760D9B36" w14:textId="5BE72BD2" w:rsidR="00E704B2" w:rsidRPr="0010648D" w:rsidRDefault="00E704B2" w:rsidP="00E704B2">
      <w:pPr>
        <w:keepLines/>
        <w:spacing w:before="120" w:after="120" w:line="276" w:lineRule="auto"/>
        <w:jc w:val="both"/>
        <w:rPr>
          <w:rFonts w:cs="Times New Roman"/>
          <w:color w:val="000000"/>
          <w:szCs w:val="24"/>
        </w:rPr>
      </w:pPr>
      <w:r>
        <w:rPr>
          <w:color w:val="000000"/>
        </w:rPr>
        <w:t xml:space="preserve">Lorsqu’il détermine l’étendue des tests de contrôles, de règles ou de procédures, l’auditeur doit tenir compte de divers aspects, notamment des caractéristiques de la population à contrôler, </w:t>
      </w:r>
      <w:r w:rsidR="00184F06">
        <w:rPr>
          <w:color w:val="000000"/>
        </w:rPr>
        <w:t>comprenant</w:t>
      </w:r>
      <w:r>
        <w:rPr>
          <w:color w:val="000000"/>
        </w:rPr>
        <w:t xml:space="preserve"> la nature des contrôles, des règles et des procédures, de leur fréquence d’application (par ex. mensuelle, quotidienne, pluriquotidienne) et du taux d’écart attendu.</w:t>
      </w:r>
    </w:p>
    <w:p w14:paraId="03086C71" w14:textId="09E6D482" w:rsidR="00E704B2" w:rsidRDefault="00E704B2" w:rsidP="00E704B2">
      <w:pPr>
        <w:spacing w:before="120" w:after="120" w:line="276" w:lineRule="auto"/>
        <w:jc w:val="both"/>
        <w:rPr>
          <w:rFonts w:cs="Times New Roman"/>
          <w:szCs w:val="24"/>
        </w:rPr>
      </w:pPr>
      <w:r>
        <w:t>Les tests de contrôles, de procédures et de règles comprennent, sans s’y limiter nécessairement, l’inspection (des livres comptables, documents et actifs), l’observation, l’enquête auprès de la direction et d’autres membres de l’organisation, les demandes de confirmation, le contrôle arithmétique et la répétition de certaines procédures.</w:t>
      </w:r>
    </w:p>
    <w:p w14:paraId="58C4266F" w14:textId="733DD49F" w:rsidR="0010648D" w:rsidRPr="0010648D" w:rsidRDefault="00C90435" w:rsidP="00E704B2">
      <w:pPr>
        <w:spacing w:before="120" w:after="120" w:line="276" w:lineRule="auto"/>
        <w:jc w:val="both"/>
        <w:rPr>
          <w:rFonts w:cs="Times New Roman"/>
          <w:szCs w:val="24"/>
        </w:rPr>
      </w:pPr>
      <w:r>
        <w:t>Lorsque l’auditeur «</w:t>
      </w:r>
      <w:r>
        <w:rPr>
          <w:i/>
        </w:rPr>
        <w:t>n’est pas en mesure de tester une procédure de contrôle décrite parce qu’elle n’a pas été utilisée pendant l’année, par exemple, [il</w:t>
      </w:r>
      <w:r w:rsidR="00184F06">
        <w:rPr>
          <w:i/>
        </w:rPr>
        <w:t>/elle</w:t>
      </w:r>
      <w:r>
        <w:rPr>
          <w:i/>
        </w:rPr>
        <w:t>] indique le fait qu’aucun test n’a été effectué et la raison de ce manquement dans [la] description des tests</w:t>
      </w:r>
      <w:r>
        <w:t>».</w:t>
      </w:r>
      <w:r>
        <w:rPr>
          <w:vertAlign w:val="superscript"/>
        </w:rPr>
        <w:t xml:space="preserve"> </w:t>
      </w:r>
      <w:r>
        <w:rPr>
          <w:vertAlign w:val="superscript"/>
        </w:rPr>
        <w:footnoteReference w:id="3"/>
      </w:r>
    </w:p>
    <w:p w14:paraId="7534EE69" w14:textId="77777777" w:rsidR="00E704B2" w:rsidRPr="00E704B2" w:rsidRDefault="00E704B2" w:rsidP="009A33A6">
      <w:pPr>
        <w:pStyle w:val="Titolo3"/>
      </w:pPr>
      <w:r>
        <w:t>Échantillonnage et autres moyens de sélection des éléments à tester</w:t>
      </w:r>
    </w:p>
    <w:p w14:paraId="0AAB174E" w14:textId="77733B77" w:rsidR="00E704B2" w:rsidRPr="00E704B2" w:rsidRDefault="00E704B2" w:rsidP="00E704B2">
      <w:pPr>
        <w:spacing w:before="120" w:after="120" w:line="276" w:lineRule="auto"/>
        <w:jc w:val="both"/>
        <w:rPr>
          <w:rFonts w:cs="Times New Roman"/>
          <w:szCs w:val="24"/>
        </w:rPr>
      </w:pPr>
      <w:r>
        <w:t xml:space="preserve">Lorsqu’il conçoit et exécute des tests des systèmes, des contrôles, des règles et des procédures, l’auditeur peut recourir à l’échantillonnage ou à d’autres modes de sélection des éléments à contrôler. L’échantillonnage consiste à appliquer les procédures à moins de 100 % des éléments pertinents au sein d’une population (par exemple, une sélection de transactions ou de soldes de compte), de sorte que toutes les unités d’échantillonnage aient une chance d’être sélectionnées et que l’auditeur dispose ainsi d’une base raisonnable pour tirer des conclusions au sujet de l’ensemble de cette population. </w:t>
      </w:r>
    </w:p>
    <w:p w14:paraId="60A9B7C4" w14:textId="1ABD45EF" w:rsidR="00E704B2" w:rsidRPr="00E704B2" w:rsidRDefault="00E704B2" w:rsidP="00E704B2">
      <w:pPr>
        <w:autoSpaceDE w:val="0"/>
        <w:autoSpaceDN w:val="0"/>
        <w:adjustRightInd w:val="0"/>
        <w:spacing w:before="120" w:after="120" w:line="276" w:lineRule="auto"/>
        <w:jc w:val="both"/>
        <w:rPr>
          <w:rFonts w:cs="Times New Roman"/>
          <w:szCs w:val="24"/>
        </w:rPr>
      </w:pPr>
      <w:r>
        <w:t xml:space="preserve">L’échantillonnage peut reposer, au choix, sur une approche statistique ou non statistique. L’auditeur peut effectuer une sélection judicieuse des éléments spécifiques d’une population donnée (par exemple, des éléments de valeur importante ou des éléments clés, tous les éléments dépassant un certain montant, des éléments permettant d’obtenir des informations ou des éléments permettant de tester les activités, les règles ou les procédures de contrôle). </w:t>
      </w:r>
    </w:p>
    <w:p w14:paraId="69FBCF64" w14:textId="4E88ECDB" w:rsidR="00E704B2" w:rsidRDefault="00E704B2" w:rsidP="00E704B2">
      <w:pPr>
        <w:autoSpaceDE w:val="0"/>
        <w:autoSpaceDN w:val="0"/>
        <w:adjustRightInd w:val="0"/>
        <w:spacing w:before="120" w:after="120" w:line="276" w:lineRule="auto"/>
        <w:jc w:val="both"/>
        <w:rPr>
          <w:rFonts w:cs="Times New Roman"/>
          <w:szCs w:val="24"/>
        </w:rPr>
      </w:pPr>
      <w:r>
        <w:t>Bien que l’examen sélectif d’éléments spécifiques représente souvent un moyen efficace de collecte d’éléments probants, il ne constitue pas pour autant un échantillonnage. Les résultats des procédures appliquées aux éléments sélectionnés de cette manière ne peuvent pas être projetés ou extrapolés à l’ensemble de la population; par conséquent, l’examen sélectif des éléments spécifiques ne fournit pas d’éléments probants concernant le reste de la population. L'échantillonnage, en revanche, est conçu de manière à permettre de tirer de tests effectués sur un échantillon sélectionné d'une population dans son ensemble des conclusions concernant cette population.</w:t>
      </w:r>
    </w:p>
    <w:p w14:paraId="7C500C76" w14:textId="77777777" w:rsidR="00FC1209" w:rsidRPr="00E704B2" w:rsidRDefault="00FC1209" w:rsidP="00FC1209">
      <w:pPr>
        <w:pStyle w:val="Titolo3"/>
      </w:pPr>
      <w:r>
        <w:t>Critères et importance relative</w:t>
      </w:r>
    </w:p>
    <w:p w14:paraId="25FB029B" w14:textId="75F37807" w:rsidR="00A77995" w:rsidRPr="00DE1E49" w:rsidRDefault="008F13A3" w:rsidP="00FC1209">
      <w:pPr>
        <w:keepLines/>
        <w:spacing w:before="120" w:after="120" w:line="276" w:lineRule="auto"/>
        <w:jc w:val="both"/>
        <w:rPr>
          <w:rFonts w:cs="Times New Roman"/>
          <w:i/>
          <w:szCs w:val="24"/>
        </w:rPr>
      </w:pPr>
      <w:r>
        <w:t xml:space="preserve">Une description des critères et de leur importance relative concernant les présents </w:t>
      </w:r>
      <w:r w:rsidR="00B348B6">
        <w:t xml:space="preserve">TdR </w:t>
      </w:r>
      <w:r>
        <w:t>figure à</w:t>
      </w:r>
      <w:r>
        <w:rPr>
          <w:i/>
        </w:rPr>
        <w:t xml:space="preserve"> </w:t>
      </w:r>
      <w:r>
        <w:rPr>
          <w:b/>
          <w:i/>
        </w:rPr>
        <w:t>l’annexe 5</w:t>
      </w:r>
      <w:r>
        <w:rPr>
          <w:i/>
        </w:rPr>
        <w:t xml:space="preserve"> Démarche adoptée et critères</w:t>
      </w:r>
      <w:r>
        <w:t xml:space="preserve">, jointe à </w:t>
      </w:r>
      <w:r>
        <w:rPr>
          <w:b/>
          <w:i/>
        </w:rPr>
        <w:t>l’annexe A</w:t>
      </w:r>
      <w:r>
        <w:rPr>
          <w:i/>
        </w:rPr>
        <w:t xml:space="preserve"> Rapport d’évaluation.</w:t>
      </w:r>
    </w:p>
    <w:p w14:paraId="3EA851EE" w14:textId="77777777" w:rsidR="00E704B2" w:rsidRPr="00E704B2" w:rsidRDefault="00E704B2" w:rsidP="009A33A6">
      <w:pPr>
        <w:pStyle w:val="Titolo3"/>
      </w:pPr>
      <w:r>
        <w:t>Utilisation des travaux des auditeurs internes</w:t>
      </w:r>
    </w:p>
    <w:p w14:paraId="5A5BF293" w14:textId="6970DDAF" w:rsidR="00E704B2" w:rsidRDefault="00E704B2" w:rsidP="00E704B2">
      <w:pPr>
        <w:keepLines/>
        <w:spacing w:before="120" w:after="120" w:line="276" w:lineRule="auto"/>
        <w:jc w:val="both"/>
        <w:rPr>
          <w:rFonts w:cs="Times New Roman"/>
          <w:szCs w:val="24"/>
        </w:rPr>
      </w:pPr>
      <w:r>
        <w:t xml:space="preserve">Lorsque l’auditeur </w:t>
      </w:r>
      <w:r w:rsidR="00226A3E">
        <w:t xml:space="preserve">établit </w:t>
      </w:r>
      <w:r>
        <w:t>qu’une fonction d’audit interne est susceptible d’être pertinente pour l’évaluation, il</w:t>
      </w:r>
      <w:r w:rsidR="00226A3E">
        <w:t>/elle</w:t>
      </w:r>
      <w:r>
        <w:t xml:space="preserve"> peut déterminer a) si, et dans quelle mesure, les travaux spécifiques des auditeurs internes peuvent être utilisés, et (b) si les travaux spécifiques des auditeurs internes sont utilisés, établir si ces travaux sont adéquats aux fins de l’évaluation. L’auditeur doit se conformer à la norme </w:t>
      </w:r>
      <w:r>
        <w:rPr>
          <w:i/>
        </w:rPr>
        <w:t>ISA 610</w:t>
      </w:r>
      <w:r>
        <w:t xml:space="preserve"> dans la mesure où celle-ci s’applique à l’évaluation.</w:t>
      </w:r>
    </w:p>
    <w:p w14:paraId="18BCF399" w14:textId="29F57D9C" w:rsidR="00572294" w:rsidRDefault="00572294" w:rsidP="00416A43">
      <w:pPr>
        <w:pStyle w:val="Titolo3"/>
      </w:pPr>
      <w:r>
        <w:t>Utilisation des travaux d’autres prestataires de services d</w:t>
      </w:r>
      <w:r w:rsidR="00B348B6">
        <w:t>’assurance</w:t>
      </w:r>
    </w:p>
    <w:p w14:paraId="2C707432" w14:textId="3097A37F" w:rsidR="00572294" w:rsidRPr="00D214DF" w:rsidRDefault="00572294" w:rsidP="00DE1E49">
      <w:pPr>
        <w:jc w:val="both"/>
        <w:rPr>
          <w:rFonts w:cs="Times New Roman"/>
          <w:szCs w:val="24"/>
        </w:rPr>
      </w:pPr>
      <w:r>
        <w:t>Lorsque l’organisation dispose d’un précédent rapport d</w:t>
      </w:r>
      <w:r w:rsidR="00B348B6">
        <w:t xml:space="preserve">’assurance </w:t>
      </w:r>
      <w:r>
        <w:t xml:space="preserve">établi par un autre prestataire, sans lien avec l’audit interne, l’auditeur peut décider a) si, et dans quelle mesure, les travaux spécifiques de ce prestataire peuvent être utilisés, et (b) si les travaux spécifiques du prestataire sont utilisés, déterminer si ces travaux sont adéquats aux fins de l’évaluation. L’auditeur doit appliquer les mêmes critères que ceux énoncés dans la norme </w:t>
      </w:r>
      <w:r>
        <w:rPr>
          <w:i/>
        </w:rPr>
        <w:t>ISA 610</w:t>
      </w:r>
      <w:r>
        <w:t xml:space="preserve"> </w:t>
      </w:r>
      <w:r>
        <w:rPr>
          <w:i/>
        </w:rPr>
        <w:t>«Utilisation des travaux des auditeurs internes»</w:t>
      </w:r>
      <w:r>
        <w:t>, dans la mesure pertinente. À titre d’exemple d’utilisation possible des travaux d’autres prestataires d</w:t>
      </w:r>
      <w:r w:rsidR="00B348B6">
        <w:t>’assurance</w:t>
      </w:r>
      <w:r>
        <w:t>, l’auditeur pourrait envisager, si l’organisation a été certifiée ou vérifiée par l’Humanitarian Qualitative Assurance Initiative </w:t>
      </w:r>
      <w:r>
        <w:rPr>
          <w:rStyle w:val="Rimandonotaapidipagina"/>
        </w:rPr>
        <w:footnoteReference w:id="4"/>
      </w:r>
      <w:r>
        <w:t xml:space="preserve"> (HQAI), de s’appuyer sur cette </w:t>
      </w:r>
      <w:r w:rsidR="00B348B6">
        <w:t xml:space="preserve">assurance </w:t>
      </w:r>
      <w:r>
        <w:t>pour répondre aux questions pertinentes, à condition que la qualité des travaux de l’HQAI ait été jugée satisfaisante.</w:t>
      </w:r>
      <w:r>
        <w:rPr>
          <w:rFonts w:ascii="Times" w:hAnsi="Times"/>
          <w:color w:val="000000"/>
          <w:sz w:val="18"/>
        </w:rPr>
        <w:t xml:space="preserve"> </w:t>
      </w:r>
    </w:p>
    <w:p w14:paraId="1475C673" w14:textId="77777777" w:rsidR="00E704B2" w:rsidRPr="00E704B2" w:rsidRDefault="00E704B2" w:rsidP="009A33A6">
      <w:pPr>
        <w:pStyle w:val="Titolo3"/>
      </w:pPr>
      <w:r>
        <w:t>Déclarations écrites</w:t>
      </w:r>
    </w:p>
    <w:p w14:paraId="25056D8E" w14:textId="3679C4E6" w:rsidR="00E704B2" w:rsidRPr="00E704B2" w:rsidRDefault="00AF5B6A" w:rsidP="00E704B2">
      <w:pPr>
        <w:keepLines/>
        <w:spacing w:before="120" w:after="120" w:line="276" w:lineRule="auto"/>
        <w:jc w:val="both"/>
        <w:rPr>
          <w:rFonts w:cs="Times New Roman"/>
          <w:szCs w:val="24"/>
        </w:rPr>
      </w:pPr>
      <w:r>
        <w:t>L’auditeur doit obtenir des déclarations écrites de la direction. Une déclaration écrite est une présentation de la direction fournie à l’auditeur afin de confirmer certaines questions ou d’appuyer d’autres éléments probants de l’évaluation. La lettre doit être signée par le(s) membre(s) de la direction de l’organisation qui assume(nt) la responsabilité première des systèmes, des contrôles, des règles et des procédures appliqués par l’organisation.</w:t>
      </w:r>
    </w:p>
    <w:p w14:paraId="5C4896D5" w14:textId="77777777" w:rsidR="00E704B2" w:rsidRPr="00E704B2" w:rsidRDefault="00E704B2" w:rsidP="009A33A6">
      <w:pPr>
        <w:pStyle w:val="Titolo3"/>
      </w:pPr>
      <w:r>
        <w:t>Aide-mémoire</w:t>
      </w:r>
    </w:p>
    <w:p w14:paraId="67CF56B2" w14:textId="479A6B93" w:rsidR="00E704B2" w:rsidRPr="00E704B2" w:rsidRDefault="00E704B2" w:rsidP="00E704B2">
      <w:pPr>
        <w:keepLines/>
        <w:spacing w:before="120" w:after="120" w:line="276" w:lineRule="auto"/>
        <w:jc w:val="both"/>
        <w:rPr>
          <w:rFonts w:cs="Times New Roman"/>
          <w:szCs w:val="24"/>
        </w:rPr>
      </w:pPr>
      <w:r>
        <w:t>L’auditeur rédige un aide-mémoire, qui fait l’objet d’un examen à l’occasion de la réunion de clôture. Cet aide-mémoire doit mettre en évidence les principales constatations résultant des travaux sur le terrain, ainsi que les recommandations de l’évaluation. Une copie de l’aide-mémoire doit être envoyée au responsable des missions d’évaluation de l’organisation.</w:t>
      </w:r>
    </w:p>
    <w:p w14:paraId="183DEB65" w14:textId="77777777" w:rsidR="00E704B2" w:rsidRPr="00E704B2" w:rsidRDefault="00E704B2" w:rsidP="009A33A6">
      <w:pPr>
        <w:pStyle w:val="Titolo3"/>
      </w:pPr>
      <w:r>
        <w:t>Réunion de clôture</w:t>
      </w:r>
    </w:p>
    <w:p w14:paraId="1A7C376B" w14:textId="77777777" w:rsidR="00E704B2" w:rsidRPr="00E704B2" w:rsidRDefault="00E704B2" w:rsidP="00E704B2">
      <w:pPr>
        <w:keepLines/>
        <w:spacing w:before="120" w:after="120" w:line="276" w:lineRule="auto"/>
        <w:jc w:val="both"/>
        <w:rPr>
          <w:rFonts w:cs="Times New Roman"/>
          <w:szCs w:val="24"/>
        </w:rPr>
      </w:pPr>
      <w:r>
        <w:rPr>
          <w:color w:val="000000"/>
        </w:rPr>
        <w:t xml:space="preserve">L’auditeur est tenu d’organiser une réunion de clôture avec l’organisation. </w:t>
      </w:r>
    </w:p>
    <w:p w14:paraId="2A66C06A" w14:textId="17D9B306" w:rsidR="00E704B2" w:rsidRPr="007039A3" w:rsidRDefault="00E704B2" w:rsidP="007039A3">
      <w:pPr>
        <w:spacing w:before="120" w:after="120" w:line="276" w:lineRule="auto"/>
        <w:jc w:val="both"/>
        <w:rPr>
          <w:rFonts w:cs="Times New Roman"/>
          <w:color w:val="000000"/>
          <w:szCs w:val="24"/>
        </w:rPr>
      </w:pPr>
      <w:r>
        <w:rPr>
          <w:color w:val="000000"/>
        </w:rPr>
        <w:t>Cette réunion a pour objectif d’examiner l’aide-mémoire et d’obtenir la confirmation et les premières observations de l’organisation sur les constatations et recommandations formulées par l’auditeur. L’auditeur et l’organisation peuvent convenir des informations complémentaires à transmettre ultérieurement par l’organisation et, si nécessaire, fixer un délai à cette fin. L’auditeur peut informer l’organisation des procédures en ce qui concerne l’établissement du rapport. L’auditeur</w:t>
      </w:r>
      <w:r>
        <w:t xml:space="preserve"> doit </w:t>
      </w:r>
      <w:r w:rsidR="00997C64">
        <w:rPr>
          <w:color w:val="000000"/>
        </w:rPr>
        <w:t>documenter</w:t>
      </w:r>
      <w:r>
        <w:rPr>
          <w:color w:val="000000"/>
        </w:rPr>
        <w:t xml:space="preserve"> les observations (orales et écrites) éventuellement formulées par l’organisation et les prendre en </w:t>
      </w:r>
      <w:r w:rsidR="00997C64">
        <w:rPr>
          <w:color w:val="000000"/>
        </w:rPr>
        <w:t>compte au sein</w:t>
      </w:r>
      <w:r>
        <w:rPr>
          <w:color w:val="000000"/>
        </w:rPr>
        <w:t xml:space="preserve"> du rapport d’évaluation.</w:t>
      </w:r>
    </w:p>
    <w:p w14:paraId="42F0735B" w14:textId="77777777" w:rsidR="00A0146C" w:rsidRDefault="00E704B2" w:rsidP="00B05BE8">
      <w:pPr>
        <w:pStyle w:val="Titolo2"/>
        <w:spacing w:before="360"/>
      </w:pPr>
      <w:bookmarkStart w:id="114" w:name="_Toc11338491"/>
      <w:bookmarkEnd w:id="114"/>
      <w:r>
        <w:t>Rapports</w:t>
      </w:r>
    </w:p>
    <w:p w14:paraId="42D940E0" w14:textId="77777777" w:rsidR="00A0146C" w:rsidRDefault="00A0146C" w:rsidP="00B05BE8">
      <w:pPr>
        <w:pStyle w:val="Text1"/>
        <w:ind w:left="0"/>
      </w:pPr>
      <w:r>
        <w:t>Il est obligatoire d’utiliser le modèle de rapport d’évaluation figurant à l’</w:t>
      </w:r>
      <w:r>
        <w:rPr>
          <w:b/>
          <w:i/>
        </w:rPr>
        <w:t>annexe A</w:t>
      </w:r>
      <w:r>
        <w:t>.</w:t>
      </w:r>
    </w:p>
    <w:p w14:paraId="1EDF12A1" w14:textId="77777777" w:rsidR="00B05BE8" w:rsidRDefault="00B05BE8" w:rsidP="00B05BE8">
      <w:pPr>
        <w:pStyle w:val="Titolo3"/>
      </w:pPr>
      <w:r>
        <w:t>Procédure relative à l’établissement de rapports</w:t>
      </w:r>
    </w:p>
    <w:p w14:paraId="4C3688AD" w14:textId="77777777" w:rsidR="00B05BE8" w:rsidRPr="00DE1E49" w:rsidRDefault="00B05BE8" w:rsidP="00332684">
      <w:pPr>
        <w:rPr>
          <w:b/>
          <w:i/>
        </w:rPr>
      </w:pPr>
      <w:r>
        <w:rPr>
          <w:b/>
          <w:i/>
        </w:rPr>
        <w:t>Exigences relatives à l’établissement de rapports</w:t>
      </w:r>
    </w:p>
    <w:p w14:paraId="63262C96" w14:textId="76EEFB86" w:rsidR="00B05BE8" w:rsidRPr="00E704B2" w:rsidRDefault="00B05BE8" w:rsidP="00B05BE8">
      <w:pPr>
        <w:spacing w:before="120" w:after="120" w:line="240" w:lineRule="auto"/>
        <w:jc w:val="both"/>
        <w:rPr>
          <w:rFonts w:cs="Times New Roman"/>
          <w:szCs w:val="24"/>
        </w:rPr>
      </w:pPr>
      <w:r>
        <w:t>L’auditeur doit rendre compte des résultats de l’évaluation conformément à la norme ISAE 3000 et aux exigences fixées dans les présents TdR.</w:t>
      </w:r>
    </w:p>
    <w:p w14:paraId="4A896B3B" w14:textId="73C9D61B" w:rsidR="00B05BE8" w:rsidRPr="00E704B2" w:rsidRDefault="00B05BE8" w:rsidP="008871F3">
      <w:pPr>
        <w:spacing w:before="120" w:after="120" w:line="240" w:lineRule="auto"/>
        <w:jc w:val="both"/>
        <w:rPr>
          <w:rFonts w:cs="Times New Roman"/>
        </w:rPr>
      </w:pPr>
      <w:r>
        <w:t xml:space="preserve">Le rapport doit être objectif, clair, concis, constructif et établi en temps </w:t>
      </w:r>
      <w:r w:rsidR="00C93966">
        <w:t>voulu</w:t>
      </w:r>
      <w:r>
        <w:t>. L’utilisation du modèle de rapport et de ses annexes est obligatoire. Le modèle de rapport figure à l’</w:t>
      </w:r>
      <w:r>
        <w:rPr>
          <w:b/>
          <w:i/>
        </w:rPr>
        <w:t>annexe A</w:t>
      </w:r>
      <w:r>
        <w:t xml:space="preserve"> des </w:t>
      </w:r>
      <w:r w:rsidR="00C93966">
        <w:t>TdR</w:t>
      </w:r>
      <w:r>
        <w:t>.</w:t>
      </w:r>
    </w:p>
    <w:p w14:paraId="14E39020" w14:textId="77777777" w:rsidR="00B05BE8" w:rsidRDefault="00B05BE8" w:rsidP="00B05BE8">
      <w:pPr>
        <w:spacing w:before="120" w:after="120" w:line="240" w:lineRule="auto"/>
        <w:jc w:val="both"/>
        <w:rPr>
          <w:rFonts w:cs="Times New Roman"/>
        </w:rPr>
      </w:pPr>
      <w:r>
        <w:rPr>
          <w:b/>
        </w:rPr>
        <w:t xml:space="preserve">Le rapport doit être présenté en </w:t>
      </w:r>
      <w:r w:rsidRPr="001F66AA">
        <w:t>[</w:t>
      </w:r>
      <w:r w:rsidRPr="008871F3">
        <w:rPr>
          <w:highlight w:val="yellow"/>
        </w:rPr>
        <w:t>anglais/français</w:t>
      </w:r>
      <w:r w:rsidRPr="001F66AA">
        <w:t>]</w:t>
      </w:r>
      <w:r>
        <w:rPr>
          <w:b/>
        </w:rPr>
        <w:t>.</w:t>
      </w:r>
      <w:r>
        <w:t xml:space="preserve"> </w:t>
      </w:r>
    </w:p>
    <w:p w14:paraId="791CDF5B" w14:textId="3F74FF8A" w:rsidR="00B05BE8" w:rsidRPr="00E704B2" w:rsidRDefault="00B05BE8" w:rsidP="00B05BE8">
      <w:pPr>
        <w:spacing w:before="120" w:after="120" w:line="240" w:lineRule="auto"/>
        <w:jc w:val="both"/>
        <w:rPr>
          <w:rFonts w:cs="Times New Roman"/>
          <w:szCs w:val="24"/>
        </w:rPr>
      </w:pPr>
      <w:r>
        <w:t xml:space="preserve">La </w:t>
      </w:r>
      <w:r>
        <w:rPr>
          <w:b/>
        </w:rPr>
        <w:t>date du projet de rapport et du rapport préfinal</w:t>
      </w:r>
      <w:r>
        <w:t xml:space="preserve"> est la date à laquelle ces rapports sont envoyés pour consultation. La date du rapport d’évaluation </w:t>
      </w:r>
      <w:r>
        <w:rPr>
          <w:u w:val="single"/>
        </w:rPr>
        <w:t>final</w:t>
      </w:r>
      <w:r>
        <w:t xml:space="preserve"> est la date à laquelle le rapport </w:t>
      </w:r>
      <w:r>
        <w:rPr>
          <w:u w:val="single"/>
        </w:rPr>
        <w:t>final</w:t>
      </w:r>
      <w:r>
        <w:t xml:space="preserve"> de l’auditeur indépendant (</w:t>
      </w:r>
      <w:r>
        <w:rPr>
          <w:b/>
          <w:i/>
        </w:rPr>
        <w:t>annexe A</w:t>
      </w:r>
      <w:r>
        <w:t>) est signé.</w:t>
      </w:r>
    </w:p>
    <w:p w14:paraId="63B1AE0D" w14:textId="77777777" w:rsidR="00B05BE8" w:rsidRPr="00E704B2" w:rsidRDefault="00B05BE8" w:rsidP="00B05BE8">
      <w:pPr>
        <w:spacing w:before="120" w:after="120" w:line="240" w:lineRule="auto"/>
        <w:jc w:val="both"/>
        <w:rPr>
          <w:rFonts w:cs="Times New Roman"/>
          <w:szCs w:val="24"/>
        </w:rPr>
      </w:pPr>
      <w:r>
        <w:t>Les faits et événements qui ont été portés à l’attention de l’auditeur avant la signature du rapport final et qui ont une incidence sur les conclusions de ce rapport doivent être pris en compte. Toutefois, l’auditeur n’est pas tenu de demander des explications à la direction de l’organisation et/ou de mettre en œuvre des procédures complémentaires après la réunion de clôture et avant la signature du rapport final.</w:t>
      </w:r>
    </w:p>
    <w:p w14:paraId="326F1CA3" w14:textId="77777777" w:rsidR="00B05BE8" w:rsidRPr="007039A3" w:rsidRDefault="00B05BE8" w:rsidP="00B05BE8">
      <w:pPr>
        <w:spacing w:before="120" w:after="120" w:line="240" w:lineRule="auto"/>
        <w:jc w:val="both"/>
        <w:rPr>
          <w:rFonts w:cs="Times New Roman"/>
          <w:szCs w:val="24"/>
        </w:rPr>
      </w:pPr>
    </w:p>
    <w:p w14:paraId="6BAA72FA" w14:textId="77777777" w:rsidR="00B05BE8" w:rsidRPr="00332684" w:rsidRDefault="00B05BE8" w:rsidP="00332684">
      <w:pPr>
        <w:pStyle w:val="Titolo3"/>
        <w:numPr>
          <w:ilvl w:val="0"/>
          <w:numId w:val="0"/>
        </w:numPr>
        <w:ind w:left="851" w:hanging="851"/>
        <w:rPr>
          <w:b/>
        </w:rPr>
      </w:pPr>
      <w:r>
        <w:rPr>
          <w:b/>
        </w:rPr>
        <w:t>Procédures et délais de présentation du projet de rapport d’évaluation et du rapport d’évaluation final</w:t>
      </w:r>
    </w:p>
    <w:p w14:paraId="0509D1E4" w14:textId="77777777" w:rsidR="00B05BE8" w:rsidRPr="00DC6E69" w:rsidRDefault="00B05BE8" w:rsidP="00EF2416">
      <w:pPr>
        <w:pStyle w:val="Titolo4"/>
        <w:numPr>
          <w:ilvl w:val="0"/>
          <w:numId w:val="25"/>
        </w:numPr>
        <w:ind w:left="142" w:firstLine="0"/>
        <w:rPr>
          <w:i/>
        </w:rPr>
      </w:pPr>
      <w:r>
        <w:rPr>
          <w:i/>
        </w:rPr>
        <w:t xml:space="preserve">Procédure de consultation et de présentation du projet de rapport  </w:t>
      </w:r>
    </w:p>
    <w:p w14:paraId="64C5CF0C" w14:textId="2127C418" w:rsidR="00B05BE8" w:rsidRPr="00E704B2" w:rsidRDefault="00B05BE8" w:rsidP="00B05BE8">
      <w:pPr>
        <w:spacing w:before="120" w:after="120" w:line="240" w:lineRule="auto"/>
        <w:ind w:left="142"/>
        <w:jc w:val="both"/>
        <w:rPr>
          <w:rFonts w:cs="Times New Roman"/>
          <w:szCs w:val="24"/>
        </w:rPr>
      </w:pPr>
      <w:r>
        <w:t>L’auditeur soumet un projet de rapport à l’organisation dans les &lt;</w:t>
      </w:r>
      <w:r>
        <w:rPr>
          <w:highlight w:val="yellow"/>
        </w:rPr>
        <w:t>nombre à déterminer par l’organisation</w:t>
      </w:r>
      <w:r>
        <w:t xml:space="preserve">&gt; jours </w:t>
      </w:r>
      <w:r w:rsidR="00C93966">
        <w:t xml:space="preserve">civils </w:t>
      </w:r>
      <w:r>
        <w:t xml:space="preserve">à compter de la date de la réunion de clôture (qui correspond à la fin des travaux sur le terrain). Ce projet de rapport doit contenir les observations de l’organisation, pour autant que ces dernières aient déjà été formulées au cours des travaux sur le terrain et à l’occasion de la réunion de clôture. </w:t>
      </w:r>
    </w:p>
    <w:p w14:paraId="13A4FA8B" w14:textId="31B2C5A4" w:rsidR="00B05BE8" w:rsidRPr="00E704B2" w:rsidRDefault="00B05BE8" w:rsidP="00B05BE8">
      <w:pPr>
        <w:spacing w:before="120" w:after="120" w:line="240" w:lineRule="auto"/>
        <w:ind w:left="142"/>
        <w:jc w:val="both"/>
        <w:rPr>
          <w:rFonts w:cs="Times New Roman"/>
          <w:szCs w:val="24"/>
        </w:rPr>
      </w:pPr>
      <w:r>
        <w:t>Les versions papier et électronique du projet de rapport doivent être accompagnées d’une lettre d</w:t>
      </w:r>
      <w:r w:rsidR="00C93966">
        <w:t>’accompagnement</w:t>
      </w:r>
      <w:r>
        <w:t>. La mention</w:t>
      </w:r>
      <w:r w:rsidR="00C93966">
        <w:t xml:space="preserve"> </w:t>
      </w:r>
      <w:r>
        <w:t>«projet» doit figurer clairement sur toutes les versions.</w:t>
      </w:r>
    </w:p>
    <w:p w14:paraId="3B2C71A6" w14:textId="010A680C" w:rsidR="00B05BE8" w:rsidRPr="00E704B2" w:rsidRDefault="00B05BE8" w:rsidP="00B05BE8">
      <w:pPr>
        <w:spacing w:before="120" w:after="120" w:line="240" w:lineRule="auto"/>
        <w:ind w:left="142"/>
        <w:jc w:val="both"/>
        <w:rPr>
          <w:rFonts w:cs="Times New Roman"/>
          <w:szCs w:val="24"/>
        </w:rPr>
      </w:pPr>
      <w:r>
        <w:t xml:space="preserve">L’organisation doit transmettre ses observations à l’auditeur, </w:t>
      </w:r>
      <w:r>
        <w:rPr>
          <w:b/>
        </w:rPr>
        <w:t>y compris concernant les recommandations</w:t>
      </w:r>
      <w:r>
        <w:t>, dans la section consacrée à cet effet, dans les &lt;</w:t>
      </w:r>
      <w:r>
        <w:rPr>
          <w:highlight w:val="yellow"/>
        </w:rPr>
        <w:t>nombre à déterminer par l’organisation</w:t>
      </w:r>
      <w:r>
        <w:t xml:space="preserve">&gt; jours </w:t>
      </w:r>
      <w:r w:rsidR="00C93966">
        <w:t xml:space="preserve">civils </w:t>
      </w:r>
      <w:r>
        <w:t xml:space="preserve">à compter de la réception du projet de rapport. </w:t>
      </w:r>
    </w:p>
    <w:p w14:paraId="3310CE43" w14:textId="0746503B" w:rsidR="00B05BE8" w:rsidRPr="00E704B2" w:rsidRDefault="00B05BE8" w:rsidP="00B05BE8">
      <w:pPr>
        <w:spacing w:before="120" w:after="120" w:line="240" w:lineRule="auto"/>
        <w:ind w:left="142"/>
        <w:jc w:val="both"/>
        <w:rPr>
          <w:rFonts w:cs="Times New Roman"/>
          <w:szCs w:val="24"/>
        </w:rPr>
      </w:pPr>
      <w:r>
        <w:t>L’auditeur doit présenter à l’organisation un projet de rapport révisé prenant en considération toutes les observations reçues dans les &lt;</w:t>
      </w:r>
      <w:r>
        <w:rPr>
          <w:highlight w:val="yellow"/>
        </w:rPr>
        <w:t>nombre à déterminer par l’organisation</w:t>
      </w:r>
      <w:r>
        <w:t xml:space="preserve">&gt; jours </w:t>
      </w:r>
      <w:r w:rsidR="00C93966">
        <w:t xml:space="preserve">civils </w:t>
      </w:r>
      <w:r>
        <w:t>à compter de la réception des observations.</w:t>
      </w:r>
    </w:p>
    <w:p w14:paraId="26C5BBD4" w14:textId="2F809FEF" w:rsidR="00B05BE8" w:rsidRPr="00E704B2" w:rsidRDefault="00B05BE8" w:rsidP="00B05BE8">
      <w:pPr>
        <w:spacing w:before="120" w:after="120" w:line="240" w:lineRule="auto"/>
        <w:ind w:left="142"/>
        <w:jc w:val="both"/>
        <w:rPr>
          <w:rFonts w:cs="Times New Roman"/>
          <w:szCs w:val="24"/>
        </w:rPr>
      </w:pPr>
      <w:r>
        <w:t xml:space="preserve">L’organisation transmet ses observations à l’auditeur dans les </w:t>
      </w:r>
      <w:r>
        <w:rPr>
          <w:highlight w:val="yellow"/>
        </w:rPr>
        <w:t>&lt;nombre à déterminer par l’organisation&gt;</w:t>
      </w:r>
      <w:r>
        <w:t xml:space="preserve"> jours </w:t>
      </w:r>
      <w:r w:rsidR="00C93966">
        <w:t xml:space="preserve">civils </w:t>
      </w:r>
      <w:r>
        <w:t>à compter de la réception du projet de rapport.</w:t>
      </w:r>
    </w:p>
    <w:p w14:paraId="0AC3858B" w14:textId="77777777" w:rsidR="00B05BE8" w:rsidRPr="00DC6E69" w:rsidRDefault="00B05BE8" w:rsidP="00EF2416">
      <w:pPr>
        <w:pStyle w:val="Paragrafoelenco"/>
        <w:numPr>
          <w:ilvl w:val="0"/>
          <w:numId w:val="25"/>
        </w:numPr>
        <w:spacing w:before="120" w:after="120" w:line="240" w:lineRule="auto"/>
        <w:ind w:left="142" w:firstLine="0"/>
        <w:jc w:val="both"/>
        <w:rPr>
          <w:rFonts w:ascii="Times New Roman" w:hAnsi="Times New Roman"/>
          <w:i/>
          <w:szCs w:val="24"/>
        </w:rPr>
      </w:pPr>
      <w:r>
        <w:rPr>
          <w:rFonts w:ascii="Times New Roman" w:hAnsi="Times New Roman"/>
          <w:i/>
        </w:rPr>
        <w:t>Procédure relative à la consultation et à la présentation du rapport final</w:t>
      </w:r>
    </w:p>
    <w:p w14:paraId="09E6CA97" w14:textId="132A25A4" w:rsidR="00B05BE8" w:rsidRPr="00E704B2" w:rsidRDefault="00B05BE8" w:rsidP="00B05BE8">
      <w:pPr>
        <w:spacing w:before="120" w:after="120" w:line="240" w:lineRule="auto"/>
        <w:ind w:left="142"/>
        <w:jc w:val="both"/>
        <w:rPr>
          <w:rFonts w:cs="Times New Roman"/>
          <w:szCs w:val="24"/>
        </w:rPr>
      </w:pPr>
      <w:r>
        <w:t xml:space="preserve">Si aucun travail supplémentaire sur le terrain n’est nécessaire, l’auditeur présente un rapport préfinal dans les </w:t>
      </w:r>
      <w:r>
        <w:rPr>
          <w:highlight w:val="yellow"/>
        </w:rPr>
        <w:t>&lt;nombre à déterminer par l’organisation&gt;</w:t>
      </w:r>
      <w:r>
        <w:t xml:space="preserve"> jours </w:t>
      </w:r>
      <w:r w:rsidR="00C93966">
        <w:t xml:space="preserve">civils </w:t>
      </w:r>
      <w:r>
        <w:t>à compter de la réception des observations formulées sur le projet de rapport. La mention «préfinal» doit figurer clairement sur la première page du rapport préfinal. L’organisation doit indiquer par écrit à l’auditeur si elle accepte ce rapport préfinal dans les &lt;</w:t>
      </w:r>
      <w:r>
        <w:rPr>
          <w:highlight w:val="yellow"/>
        </w:rPr>
        <w:t>nombre à déterminer par l’organisation</w:t>
      </w:r>
      <w:r>
        <w:t xml:space="preserve">&gt; jours </w:t>
      </w:r>
      <w:r w:rsidR="00C93966">
        <w:t xml:space="preserve">civils </w:t>
      </w:r>
      <w:r>
        <w:t xml:space="preserve">à compter de sa réception. </w:t>
      </w:r>
    </w:p>
    <w:p w14:paraId="75F6B2F5" w14:textId="52F2C5FD" w:rsidR="00B05BE8" w:rsidRPr="00E704B2" w:rsidRDefault="00B05BE8" w:rsidP="00B05BE8">
      <w:pPr>
        <w:spacing w:before="120" w:after="120" w:line="240" w:lineRule="auto"/>
        <w:ind w:left="142"/>
        <w:jc w:val="both"/>
        <w:rPr>
          <w:rFonts w:cs="Times New Roman"/>
          <w:szCs w:val="24"/>
        </w:rPr>
      </w:pPr>
      <w:r>
        <w:t xml:space="preserve">L’auditeur présente son rapport final dans les </w:t>
      </w:r>
      <w:r>
        <w:rPr>
          <w:highlight w:val="yellow"/>
        </w:rPr>
        <w:t>&lt;nombre à déterminer par l’organisation&gt;</w:t>
      </w:r>
      <w:r>
        <w:t xml:space="preserve"> jours </w:t>
      </w:r>
      <w:r w:rsidR="00C93966">
        <w:t xml:space="preserve">civils </w:t>
      </w:r>
      <w:r>
        <w:t>à compter de la réception des observations sur le rapport préfinal.</w:t>
      </w:r>
    </w:p>
    <w:p w14:paraId="143C5260" w14:textId="55B20996" w:rsidR="00B05BE8" w:rsidRPr="00E704B2" w:rsidRDefault="00B05BE8" w:rsidP="00B05BE8">
      <w:pPr>
        <w:spacing w:before="120" w:after="120" w:line="240" w:lineRule="auto"/>
        <w:ind w:left="142"/>
        <w:jc w:val="both"/>
        <w:rPr>
          <w:rFonts w:cs="Times New Roman"/>
          <w:szCs w:val="24"/>
        </w:rPr>
      </w:pPr>
      <w:r>
        <w:t xml:space="preserve">L’auditeur transmet à l’organisation une version </w:t>
      </w:r>
      <w:r w:rsidR="00C93966">
        <w:t xml:space="preserve">papier </w:t>
      </w:r>
      <w:r>
        <w:t>originale</w:t>
      </w:r>
      <w:r w:rsidR="00C93966">
        <w:t xml:space="preserve"> </w:t>
      </w:r>
      <w:r>
        <w:t>ainsi qu’une version électronique du rapport final, accompagnées d’une note d</w:t>
      </w:r>
      <w:r w:rsidR="00C93966">
        <w:t>’accompagnement</w:t>
      </w:r>
      <w:r>
        <w:t xml:space="preserve">. </w:t>
      </w:r>
    </w:p>
    <w:p w14:paraId="6930D99B" w14:textId="2A26AEC3" w:rsidR="00B05BE8" w:rsidRPr="00E704B2" w:rsidRDefault="00B05BE8" w:rsidP="00B05BE8">
      <w:pPr>
        <w:spacing w:before="120" w:after="120" w:line="240" w:lineRule="auto"/>
        <w:ind w:left="142"/>
        <w:jc w:val="both"/>
        <w:rPr>
          <w:rFonts w:cs="Times New Roman"/>
          <w:szCs w:val="24"/>
        </w:rPr>
      </w:pPr>
      <w:r>
        <w:t>Les rapports doivent être fournis sur le papier à en-tête original de l’auditeur. La mention «final» doit figurer clairement sur toutes les versions. L’auditeur doit également envoyer à l’organisation une version électronique du rapport final, c’est-à-dire une copie numérisée, (</w:t>
      </w:r>
      <w:r w:rsidR="00C93966">
        <w:t xml:space="preserve">en </w:t>
      </w:r>
      <w:r>
        <w:t>format PDF) du rapport final signé et daté avec l’en-tête de l’auditeur.</w:t>
      </w:r>
    </w:p>
    <w:p w14:paraId="1218FA02" w14:textId="290B3E91" w:rsidR="00B05BE8" w:rsidRPr="00E704B2" w:rsidRDefault="00B05BE8" w:rsidP="00B05BE8">
      <w:pPr>
        <w:spacing w:before="120" w:after="120" w:line="240" w:lineRule="auto"/>
        <w:ind w:left="142"/>
        <w:jc w:val="both"/>
        <w:rPr>
          <w:rFonts w:cs="Times New Roman"/>
          <w:szCs w:val="24"/>
        </w:rPr>
      </w:pPr>
      <w:r>
        <w:t>La période écoulée entre la réunion de clôture et la présentation du rapport final à l’organisation ne doit pas excéder &lt;</w:t>
      </w:r>
      <w:r>
        <w:rPr>
          <w:highlight w:val="yellow"/>
        </w:rPr>
        <w:t>nombre à déterminer par l’organisation</w:t>
      </w:r>
      <w:r>
        <w:t xml:space="preserve">&gt; jours </w:t>
      </w:r>
      <w:r w:rsidR="000229CF">
        <w:t xml:space="preserve">civils </w:t>
      </w:r>
      <w:r>
        <w:t>ou &lt;</w:t>
      </w:r>
      <w:r>
        <w:rPr>
          <w:highlight w:val="yellow"/>
        </w:rPr>
        <w:t>nombre à déterminer par l’organisation</w:t>
      </w:r>
      <w:r>
        <w:t>&gt; semaines.</w:t>
      </w:r>
    </w:p>
    <w:p w14:paraId="633BEB60" w14:textId="7D276461" w:rsidR="00B05BE8" w:rsidRPr="00E704B2" w:rsidRDefault="00B05BE8" w:rsidP="00B05BE8">
      <w:pPr>
        <w:spacing w:before="120" w:after="120" w:line="240" w:lineRule="auto"/>
        <w:ind w:left="142"/>
        <w:jc w:val="both"/>
        <w:rPr>
          <w:rFonts w:cs="Times New Roman"/>
          <w:szCs w:val="24"/>
        </w:rPr>
      </w:pPr>
      <w:r>
        <w:t>Dans le cadre de sa candidature à un ACP, l’organisation envoie, par voie postale et électronique, une copie papier et une copie électronique du rapport d’évaluation final à la DG ECHO. De plus amples détails sur cette procédure seront communiqués en temps utile sur le site internet </w:t>
      </w:r>
      <w:r>
        <w:rPr>
          <w:rStyle w:val="Rimandonotaapidipagina"/>
        </w:rPr>
        <w:footnoteReference w:id="5"/>
      </w:r>
      <w:r>
        <w:t xml:space="preserve"> des partenaires de la DG ECHO.</w:t>
      </w:r>
    </w:p>
    <w:bookmarkEnd w:id="112"/>
    <w:p w14:paraId="7F33F6F6" w14:textId="77777777" w:rsidR="00332684" w:rsidRDefault="00332684" w:rsidP="009A33A6">
      <w:pPr>
        <w:pStyle w:val="Titolo3"/>
      </w:pPr>
      <w:r>
        <w:t>Présentation des conclusions, des recommandations et de la conclusion finale</w:t>
      </w:r>
    </w:p>
    <w:p w14:paraId="07963AC0" w14:textId="2F6BFE58" w:rsidR="00534532" w:rsidRPr="00D52E3D" w:rsidRDefault="008F13A3" w:rsidP="00534532">
      <w:pPr>
        <w:keepLines/>
        <w:spacing w:before="120" w:after="120" w:line="276" w:lineRule="auto"/>
        <w:jc w:val="both"/>
        <w:rPr>
          <w:rFonts w:cs="Times New Roman"/>
          <w:i/>
          <w:szCs w:val="24"/>
        </w:rPr>
      </w:pPr>
      <w:r>
        <w:t xml:space="preserve">Une description des conclusions et des recommandations concernant les présents </w:t>
      </w:r>
      <w:r w:rsidR="00B348B6">
        <w:t xml:space="preserve">TdR </w:t>
      </w:r>
      <w:r>
        <w:t xml:space="preserve">figure à </w:t>
      </w:r>
      <w:r>
        <w:rPr>
          <w:b/>
          <w:i/>
        </w:rPr>
        <w:t>l’annexe 5</w:t>
      </w:r>
      <w:r>
        <w:t xml:space="preserve"> </w:t>
      </w:r>
      <w:r>
        <w:rPr>
          <w:i/>
        </w:rPr>
        <w:t>Démarche adoptée et critères</w:t>
      </w:r>
      <w:r>
        <w:t xml:space="preserve">, jointe à </w:t>
      </w:r>
      <w:r>
        <w:rPr>
          <w:b/>
          <w:i/>
        </w:rPr>
        <w:t>l’annexe A</w:t>
      </w:r>
      <w:r>
        <w:rPr>
          <w:i/>
        </w:rPr>
        <w:t xml:space="preserve"> Rapport d’évaluation</w:t>
      </w:r>
      <w:r>
        <w:t>.</w:t>
      </w:r>
    </w:p>
    <w:p w14:paraId="2AD78857" w14:textId="77777777" w:rsidR="00E704B2" w:rsidRPr="00332684" w:rsidRDefault="00E704B2" w:rsidP="00332684">
      <w:pPr>
        <w:pStyle w:val="Titolo3"/>
        <w:numPr>
          <w:ilvl w:val="0"/>
          <w:numId w:val="0"/>
        </w:numPr>
        <w:spacing w:before="240" w:after="240"/>
        <w:ind w:left="851" w:hanging="851"/>
        <w:rPr>
          <w:b/>
        </w:rPr>
      </w:pPr>
      <w:r>
        <w:rPr>
          <w:b/>
        </w:rPr>
        <w:t>Conclusions</w:t>
      </w:r>
    </w:p>
    <w:p w14:paraId="2996405B" w14:textId="77777777" w:rsidR="00E704B2" w:rsidRPr="00E704B2" w:rsidRDefault="00E704B2" w:rsidP="00E704B2">
      <w:pPr>
        <w:keepLines/>
        <w:spacing w:before="120" w:after="120" w:line="276" w:lineRule="auto"/>
        <w:jc w:val="both"/>
        <w:rPr>
          <w:rFonts w:cs="Times New Roman"/>
          <w:snapToGrid w:val="0"/>
          <w:szCs w:val="24"/>
        </w:rPr>
      </w:pPr>
      <w:r>
        <w:t xml:space="preserve">Le rapport d’évaluation doit comporter une réponse et une note pour chaque question ainsi que pour chaque ensemble de questions. </w:t>
      </w:r>
    </w:p>
    <w:p w14:paraId="042FB93B" w14:textId="77777777" w:rsidR="00E704B2" w:rsidRPr="00E704B2" w:rsidRDefault="00E704B2" w:rsidP="000E1C42">
      <w:pPr>
        <w:keepLines/>
        <w:spacing w:before="120" w:after="120" w:line="276" w:lineRule="auto"/>
        <w:jc w:val="both"/>
        <w:rPr>
          <w:rFonts w:cs="Times New Roman"/>
          <w:snapToGrid w:val="0"/>
          <w:szCs w:val="24"/>
        </w:rPr>
      </w:pPr>
      <w:r>
        <w:t>La conclusion générale pour chaque ensemble se présente comme suit:</w:t>
      </w:r>
    </w:p>
    <w:p w14:paraId="35E1BB90" w14:textId="77777777" w:rsidR="008B0842" w:rsidRPr="00332684" w:rsidRDefault="00E704B2" w:rsidP="001F66AA">
      <w:pPr>
        <w:pStyle w:val="Paragrafoelenco"/>
        <w:numPr>
          <w:ilvl w:val="0"/>
          <w:numId w:val="38"/>
        </w:numPr>
        <w:spacing w:line="276" w:lineRule="auto"/>
        <w:rPr>
          <w:rFonts w:ascii="Times New Roman" w:eastAsiaTheme="minorHAnsi" w:hAnsi="Times New Roman"/>
          <w:snapToGrid w:val="0"/>
          <w:szCs w:val="24"/>
        </w:rPr>
      </w:pPr>
      <w:r>
        <w:rPr>
          <w:rFonts w:ascii="Times New Roman" w:eastAsiaTheme="minorHAnsi" w:hAnsi="Times New Roman"/>
          <w:snapToGrid w:val="0"/>
        </w:rPr>
        <w:t>La conclusion concernant les exigences minimales peut être soit positive (avis sans réserve), soit négative (avis défavorable).</w:t>
      </w:r>
    </w:p>
    <w:p w14:paraId="2FE566D2" w14:textId="19271A40" w:rsidR="00E704B2" w:rsidRPr="00332684" w:rsidRDefault="00E704B2" w:rsidP="001F66AA">
      <w:pPr>
        <w:pStyle w:val="Paragrafoelenco"/>
        <w:numPr>
          <w:ilvl w:val="0"/>
          <w:numId w:val="38"/>
        </w:numPr>
        <w:spacing w:line="276" w:lineRule="auto"/>
        <w:jc w:val="both"/>
        <w:rPr>
          <w:rFonts w:ascii="Times New Roman" w:eastAsiaTheme="minorHAnsi" w:hAnsi="Times New Roman"/>
          <w:snapToGrid w:val="0"/>
          <w:szCs w:val="24"/>
        </w:rPr>
      </w:pPr>
      <w:r>
        <w:rPr>
          <w:rFonts w:ascii="Times New Roman" w:eastAsiaTheme="minorHAnsi" w:hAnsi="Times New Roman"/>
          <w:snapToGrid w:val="0"/>
        </w:rPr>
        <w:t>La conclusion concernant les critères d’aptitude supplémentaires peut être soit: i) positive (avis sans réserve), soit ii) positive, mais avec quelques points non essentiels à améliorer (avis avec réserve), soit iii) négative (avis défavorable).</w:t>
      </w:r>
    </w:p>
    <w:p w14:paraId="0EA64229" w14:textId="77777777" w:rsidR="00E704B2" w:rsidRPr="009A33A6" w:rsidRDefault="00E704B2" w:rsidP="000E1C42">
      <w:pPr>
        <w:keepLines/>
        <w:spacing w:before="120" w:after="120" w:line="276" w:lineRule="auto"/>
        <w:jc w:val="both"/>
        <w:rPr>
          <w:rFonts w:cs="Times New Roman"/>
          <w:snapToGrid w:val="0"/>
          <w:szCs w:val="24"/>
        </w:rPr>
      </w:pPr>
      <w:r>
        <w:t>La conclusion finale pour l’ensemble de l’évaluation ex ante est l’une des suivantes:</w:t>
      </w:r>
    </w:p>
    <w:p w14:paraId="1B44D765" w14:textId="0F1AAF18" w:rsidR="00E704B2" w:rsidRPr="00E704B2" w:rsidRDefault="00E704B2" w:rsidP="00EF2416">
      <w:pPr>
        <w:keepLines/>
        <w:numPr>
          <w:ilvl w:val="1"/>
          <w:numId w:val="23"/>
        </w:numPr>
        <w:spacing w:before="120" w:after="120" w:line="276" w:lineRule="auto"/>
        <w:contextualSpacing/>
        <w:jc w:val="both"/>
        <w:rPr>
          <w:rFonts w:cs="Times New Roman"/>
          <w:snapToGrid w:val="0"/>
          <w:szCs w:val="24"/>
        </w:rPr>
      </w:pPr>
      <w:r>
        <w:t>ACCEPTABLE comme partenaire ACP ou pour un possible partenariat programmatique à la suite d’une autre procédure spécifique</w:t>
      </w:r>
    </w:p>
    <w:p w14:paraId="3B07EF85" w14:textId="77777777" w:rsidR="00E704B2" w:rsidRPr="00E704B2" w:rsidRDefault="00E704B2" w:rsidP="00EF2416">
      <w:pPr>
        <w:keepLines/>
        <w:numPr>
          <w:ilvl w:val="1"/>
          <w:numId w:val="23"/>
        </w:numPr>
        <w:spacing w:before="120" w:after="120" w:line="276" w:lineRule="auto"/>
        <w:contextualSpacing/>
        <w:jc w:val="both"/>
        <w:rPr>
          <w:rFonts w:cs="Times New Roman"/>
          <w:snapToGrid w:val="0"/>
          <w:szCs w:val="24"/>
        </w:rPr>
      </w:pPr>
      <w:r>
        <w:t>ACCEPTABLE comme partenaire provisoire avec un plan d’action</w:t>
      </w:r>
    </w:p>
    <w:p w14:paraId="3A7C9324" w14:textId="77777777" w:rsidR="00E704B2" w:rsidRPr="00E704B2" w:rsidRDefault="00E704B2" w:rsidP="00EF2416">
      <w:pPr>
        <w:keepLines/>
        <w:numPr>
          <w:ilvl w:val="1"/>
          <w:numId w:val="23"/>
        </w:numPr>
        <w:spacing w:before="120" w:after="120" w:line="276" w:lineRule="auto"/>
        <w:contextualSpacing/>
        <w:jc w:val="both"/>
        <w:rPr>
          <w:rFonts w:ascii="Calibri" w:eastAsia="Times New Roman" w:hAnsi="Calibri" w:cs="Times New Roman"/>
          <w:snapToGrid w:val="0"/>
        </w:rPr>
      </w:pPr>
      <w:r>
        <w:rPr>
          <w:rFonts w:ascii="Times" w:hAnsi="Times"/>
          <w:snapToGrid w:val="0"/>
        </w:rPr>
        <w:t>NON ADMISSIBLE /</w:t>
      </w:r>
      <w:r>
        <w:t xml:space="preserve"> REJETÉ</w:t>
      </w:r>
    </w:p>
    <w:p w14:paraId="58258D0A" w14:textId="77777777" w:rsidR="00EA1E34" w:rsidRDefault="00EA1E34" w:rsidP="005320E2">
      <w:pPr>
        <w:spacing w:before="120" w:after="120" w:line="276" w:lineRule="auto"/>
        <w:jc w:val="both"/>
        <w:rPr>
          <w:rFonts w:cs="Times New Roman"/>
          <w:szCs w:val="24"/>
        </w:rPr>
      </w:pPr>
    </w:p>
    <w:p w14:paraId="33A0A4FB" w14:textId="77777777" w:rsidR="00E704B2" w:rsidRPr="00E704B2" w:rsidRDefault="00E704B2" w:rsidP="005320E2">
      <w:pPr>
        <w:pStyle w:val="Titolo1"/>
        <w:spacing w:after="360"/>
      </w:pPr>
      <w:bookmarkStart w:id="115" w:name="_Toc11338492"/>
      <w:r>
        <w:t>NORMES ET ORIENTATIONS</w:t>
      </w:r>
      <w:bookmarkEnd w:id="115"/>
    </w:p>
    <w:p w14:paraId="34E5FDB0" w14:textId="7B0C0361" w:rsidR="00E704B2" w:rsidRPr="00E704B2" w:rsidRDefault="00840163" w:rsidP="005320E2">
      <w:pPr>
        <w:pStyle w:val="Titolo2"/>
        <w:spacing w:before="240" w:after="240"/>
      </w:pPr>
      <w:r>
        <w:t>Normes professionnelles régissant l’évaluation</w:t>
      </w:r>
    </w:p>
    <w:p w14:paraId="76420DDE" w14:textId="16EA87B8" w:rsidR="00E704B2" w:rsidRPr="00E704B2" w:rsidRDefault="00C451DF" w:rsidP="00E704B2">
      <w:pPr>
        <w:spacing w:before="120" w:after="120" w:line="276" w:lineRule="auto"/>
        <w:jc w:val="both"/>
        <w:rPr>
          <w:rFonts w:cs="Times New Roman"/>
          <w:szCs w:val="24"/>
        </w:rPr>
      </w:pPr>
      <w:r>
        <w:t>Comme indiqué ci-dessus, l’auditeur qui effectue la présente évaluation doit être régi par:</w:t>
      </w:r>
    </w:p>
    <w:p w14:paraId="2A2A5EB4" w14:textId="77777777" w:rsidR="00FF3067" w:rsidRDefault="0032646E" w:rsidP="00DE1E49">
      <w:pPr>
        <w:pStyle w:val="Bullet0"/>
      </w:pPr>
      <w:r>
        <w:t xml:space="preserve">La norme ISAE 3000 concernant les missions d’assurance autres que les missions d’audit ou d’examen limité d’informations financières historiques (version révisée) publiée par l’International Auditing and Assurance Standards Board de l’IFAC (manuel de l’IAASB 2018, volume 2) </w:t>
      </w:r>
      <w:hyperlink r:id="rId8">
        <w:r>
          <w:rPr>
            <w:rStyle w:val="Collegamentoipertestuale"/>
            <w:i/>
          </w:rPr>
          <w:t>http://www.ifac.org/publications-resources/2018-handbook-international-quality-control-auditing-review-other-assurance</w:t>
        </w:r>
      </w:hyperlink>
    </w:p>
    <w:p w14:paraId="367FD8C9" w14:textId="1BAE4CBA" w:rsidR="00FF3067" w:rsidRPr="000D5918" w:rsidRDefault="0032646E" w:rsidP="00DE1E49">
      <w:pPr>
        <w:pStyle w:val="Bullet0"/>
        <w:rPr>
          <w:i/>
        </w:rPr>
      </w:pPr>
      <w:r>
        <w:t xml:space="preserve">Les normes internationales de contrôle qualité (ISQC1) publiées par l’IAASB (manuel de l’IAASB 2018, volume 1) </w:t>
      </w:r>
      <w:hyperlink r:id="rId9">
        <w:r>
          <w:rPr>
            <w:rStyle w:val="Collegamentoipertestuale"/>
            <w:i/>
          </w:rPr>
          <w:t>http://www.ifac.org/publications-resources/2018-handbook-international-quality-control-auditing-review-other-assurance</w:t>
        </w:r>
      </w:hyperlink>
    </w:p>
    <w:p w14:paraId="303BB08B" w14:textId="08C23EB6" w:rsidR="00E704B2" w:rsidRPr="00FF3067" w:rsidRDefault="00E704B2">
      <w:pPr>
        <w:pStyle w:val="Bullet0"/>
      </w:pPr>
      <w:r>
        <w:t xml:space="preserve">Le Code international de déontologie des professionnels comptables [publié par l’International Ethics Standards Board for Accountants (IESBA) de l’IFAC], qui établit les principes de déontologie fondamentaux qui s’appliquent aux auditeurs, notamment les principes d’intégrité, d’objectivité, d’indépendance, de compétence et de diligence professionnelles, de confidentialité, de comportement professionnel et de respect des normes techniques </w:t>
      </w:r>
      <w:hyperlink r:id="rId10">
        <w:r>
          <w:rPr>
            <w:rStyle w:val="Collegamentoipertestuale"/>
            <w:i/>
          </w:rPr>
          <w:t>http://www.ifac.org/publications-resources/2018-handbook-international-code-ethics-professional-accountants</w:t>
        </w:r>
      </w:hyperlink>
      <w:r>
        <w:t>.</w:t>
      </w:r>
    </w:p>
    <w:p w14:paraId="7CF089F4" w14:textId="77777777" w:rsidR="00FF3067" w:rsidRPr="00E704B2" w:rsidRDefault="00FF3067" w:rsidP="00DE1E49">
      <w:pPr>
        <w:pStyle w:val="Bullet0"/>
        <w:numPr>
          <w:ilvl w:val="0"/>
          <w:numId w:val="0"/>
        </w:numPr>
        <w:ind w:left="850" w:hanging="850"/>
      </w:pPr>
    </w:p>
    <w:p w14:paraId="38FFDA4A" w14:textId="77777777" w:rsidR="00E704B2" w:rsidRPr="00E704B2" w:rsidRDefault="00E704B2" w:rsidP="005320E2">
      <w:pPr>
        <w:pStyle w:val="Titolo2"/>
        <w:spacing w:before="240" w:after="240"/>
      </w:pPr>
      <w:bookmarkStart w:id="116" w:name="_Toc287457424"/>
      <w:bookmarkStart w:id="117" w:name="_Toc287457451"/>
      <w:bookmarkStart w:id="118" w:name="_Toc287947546"/>
      <w:bookmarkStart w:id="119" w:name="_Toc288147485"/>
      <w:bookmarkStart w:id="120" w:name="_Toc278989692"/>
      <w:bookmarkStart w:id="121" w:name="_Toc279079290"/>
      <w:bookmarkStart w:id="122" w:name="_Toc287275874"/>
      <w:bookmarkStart w:id="123" w:name="_Toc287431689"/>
      <w:bookmarkStart w:id="124" w:name="_Toc287457425"/>
      <w:bookmarkStart w:id="125" w:name="_Toc287457452"/>
      <w:bookmarkStart w:id="126" w:name="_Toc287947547"/>
      <w:bookmarkStart w:id="127" w:name="_Toc288147486"/>
      <w:bookmarkStart w:id="128" w:name="_Toc278989694"/>
      <w:bookmarkStart w:id="129" w:name="_Toc279079292"/>
      <w:bookmarkStart w:id="130" w:name="_Toc287275876"/>
      <w:bookmarkStart w:id="131" w:name="_Toc287431691"/>
      <w:bookmarkStart w:id="132" w:name="_Toc287457427"/>
      <w:bookmarkStart w:id="133" w:name="_Toc287457454"/>
      <w:bookmarkStart w:id="134" w:name="_Toc287947549"/>
      <w:bookmarkStart w:id="135" w:name="_Toc288147488"/>
      <w:bookmarkStart w:id="136" w:name="_Toc278989695"/>
      <w:bookmarkStart w:id="137" w:name="_Toc279079293"/>
      <w:bookmarkStart w:id="138" w:name="_Toc287275877"/>
      <w:bookmarkStart w:id="139" w:name="_Toc287431692"/>
      <w:bookmarkStart w:id="140" w:name="_Toc287457428"/>
      <w:bookmarkStart w:id="141" w:name="_Toc287457455"/>
      <w:bookmarkStart w:id="142" w:name="_Toc287947550"/>
      <w:bookmarkStart w:id="143" w:name="_Toc288147489"/>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t>Normes spécifiques applicables à l’aide humanitaire</w:t>
      </w:r>
    </w:p>
    <w:p w14:paraId="4A660BDE" w14:textId="6AB713F0" w:rsidR="00E704B2" w:rsidRPr="00E704B2" w:rsidRDefault="00E704B2" w:rsidP="00E704B2">
      <w:pPr>
        <w:spacing w:before="120" w:after="120" w:line="240" w:lineRule="auto"/>
        <w:jc w:val="both"/>
        <w:rPr>
          <w:rFonts w:cs="Times New Roman"/>
        </w:rPr>
      </w:pPr>
      <w:r>
        <w:t>La sélection des ONG partenaires pour la signature de l’</w:t>
      </w:r>
      <w:r w:rsidR="00B348B6">
        <w:t>A</w:t>
      </w:r>
      <w:r>
        <w:t>ccord-</w:t>
      </w:r>
      <w:r w:rsidR="00B348B6">
        <w:t>C</w:t>
      </w:r>
      <w:r>
        <w:t xml:space="preserve">adre de </w:t>
      </w:r>
      <w:r w:rsidR="00B348B6">
        <w:t>P</w:t>
      </w:r>
      <w:r>
        <w:t>artenariat de 2021 s’effectue en fonction d’exigences minimales et de critères d’aptitude supplémentaires fixés par, ou fondés sur, les règlements suivants</w:t>
      </w:r>
      <w:r>
        <w:rPr>
          <w:vertAlign w:val="superscript"/>
        </w:rPr>
        <w:footnoteReference w:id="6"/>
      </w:r>
      <w:r>
        <w:t xml:space="preserve">: </w:t>
      </w:r>
    </w:p>
    <w:p w14:paraId="47E22C53" w14:textId="2984F7DE" w:rsidR="00E704B2" w:rsidRPr="00E704B2" w:rsidRDefault="00B21EA7" w:rsidP="00EF2416">
      <w:pPr>
        <w:numPr>
          <w:ilvl w:val="0"/>
          <w:numId w:val="17"/>
        </w:numPr>
        <w:spacing w:before="120" w:after="120" w:line="240" w:lineRule="auto"/>
        <w:jc w:val="both"/>
        <w:rPr>
          <w:rFonts w:cs="Times New Roman"/>
        </w:rPr>
      </w:pPr>
      <w:r>
        <w:t xml:space="preserve">Le </w:t>
      </w:r>
      <w:hyperlink r:id="rId11">
        <w:r>
          <w:t>règlement (CE) nº 1257/96 du Conseil du 20 juin 1996 concernant l’aide humanitaire</w:t>
        </w:r>
      </w:hyperlink>
      <w:r>
        <w:t>)</w:t>
      </w:r>
      <w:r>
        <w:rPr>
          <w:rStyle w:val="Rimandonotaapidipagina"/>
        </w:rPr>
        <w:footnoteReference w:id="7"/>
      </w:r>
      <w:r>
        <w:t xml:space="preserve">, et </w:t>
      </w:r>
    </w:p>
    <w:p w14:paraId="559EEF17" w14:textId="53F92DA8" w:rsidR="00C730E9" w:rsidRDefault="00E704B2" w:rsidP="00C730E9">
      <w:pPr>
        <w:numPr>
          <w:ilvl w:val="0"/>
          <w:numId w:val="17"/>
        </w:numPr>
        <w:spacing w:before="100" w:beforeAutospacing="1" w:after="100" w:afterAutospacing="1" w:line="240" w:lineRule="auto"/>
        <w:jc w:val="both"/>
        <w:rPr>
          <w:rFonts w:cs="Times New Roman"/>
        </w:rPr>
      </w:pPr>
      <w:r>
        <w:t xml:space="preserve">le règlement (UE, Euratom) 2018/1046 du Parlement européen et du Conseil du 18 juillet 2018 relatif aux </w:t>
      </w:r>
      <w:hyperlink r:id="rId12">
        <w:r>
          <w:t>règles financières</w:t>
        </w:r>
        <w:r>
          <w:rPr>
            <w:vertAlign w:val="superscript"/>
          </w:rPr>
          <w:footnoteReference w:id="8"/>
        </w:r>
        <w:r>
          <w:t xml:space="preserve"> applicables au budget général de l’Union</w:t>
        </w:r>
      </w:hyperlink>
      <w:r w:rsidR="007F60C3">
        <w:t xml:space="preserve"> européenne</w:t>
      </w:r>
      <w:r>
        <w:t>, modifiant les règlements (UE) nº 1296/2013, (UE) nº 1301/2013, (UE) nº 1303/2013, (UE) nº 1304/2013, (UE) nº 1309/2013, (UE) nº 1316/2013, (UE) nº 223/2014, (UE) nº 283/2014 et la décision nº 541/2014/UE, et abrogeant le règlement (UE, Euratom) nº 966/2012 (le règlement financier).</w:t>
      </w:r>
    </w:p>
    <w:p w14:paraId="71DBE35E" w14:textId="330EB0BC" w:rsidR="00E704B2" w:rsidRPr="00C730E9" w:rsidRDefault="00E704B2" w:rsidP="00B01B76">
      <w:pPr>
        <w:spacing w:before="120" w:after="100" w:afterAutospacing="1" w:line="240" w:lineRule="auto"/>
        <w:jc w:val="both"/>
        <w:rPr>
          <w:rFonts w:cs="Times New Roman"/>
        </w:rPr>
      </w:pPr>
      <w:r>
        <w:t>Des critères de référence spécifiques ont été définis concernant la capacité minimale requise pour être partenaire de la DG ECHO, conformément à l’article 7 du règlement concernant l’aide humanitaire et au règlement financier, ainsi que des normes de qualité dans le domaine de l’aide humanitaire, fondées sur les documents suivants</w:t>
      </w:r>
      <w:r>
        <w:rPr>
          <w:vertAlign w:val="superscript"/>
        </w:rPr>
        <w:footnoteReference w:id="9"/>
      </w:r>
      <w:r>
        <w:t>:</w:t>
      </w:r>
    </w:p>
    <w:p w14:paraId="1BAE7F31" w14:textId="6B872758" w:rsidR="00E704B2" w:rsidRPr="00E704B2" w:rsidRDefault="001E7DC1" w:rsidP="00EF2416">
      <w:pPr>
        <w:numPr>
          <w:ilvl w:val="0"/>
          <w:numId w:val="17"/>
        </w:numPr>
        <w:spacing w:before="120" w:after="120" w:line="240" w:lineRule="auto"/>
        <w:jc w:val="both"/>
        <w:rPr>
          <w:rFonts w:cs="Times New Roman"/>
        </w:rPr>
      </w:pPr>
      <w:hyperlink r:id="rId13">
        <w:r w:rsidR="00B21EA7">
          <w:t>Le consensus européen sur l’aide humanitaire</w:t>
        </w:r>
      </w:hyperlink>
      <w:r w:rsidR="00B21EA7">
        <w:rPr>
          <w:vertAlign w:val="superscript"/>
        </w:rPr>
        <w:footnoteReference w:id="10"/>
      </w:r>
      <w:r w:rsidR="00B21EA7">
        <w:t>, qui est la déclaration politique de référence approuvée conjointement par le Parlement européen, les États membres, le Conseil et la Commission, et qui expose la vision commune de l’Union</w:t>
      </w:r>
      <w:r w:rsidR="00643B3D">
        <w:t xml:space="preserve"> européenne</w:t>
      </w:r>
      <w:r w:rsidR="00B21EA7">
        <w:t xml:space="preserve"> et de ses États membres en matière de politique d’aide humanitaire;</w:t>
      </w:r>
    </w:p>
    <w:p w14:paraId="10523FF6" w14:textId="50C68DFD" w:rsidR="00E704B2" w:rsidRPr="00E704B2" w:rsidRDefault="001E7DC1" w:rsidP="00545499">
      <w:pPr>
        <w:pStyle w:val="Bullet0"/>
      </w:pPr>
      <w:hyperlink r:id="rId14">
        <w:r w:rsidR="00B21EA7">
          <w:t>Le manuel Sphère</w:t>
        </w:r>
      </w:hyperlink>
      <w:r w:rsidR="00B21EA7">
        <w:rPr>
          <w:rStyle w:val="Rimandonotaapidipagina"/>
        </w:rPr>
        <w:footnoteReference w:id="11"/>
      </w:r>
      <w:r w:rsidR="00B21EA7">
        <w:t xml:space="preserve"> – La Charte humanitaire et les standards minimums de l’intervention humanitaire, qui est l’un des ensembles de principes communs et de normes minimales universelles les plus connus et les plus reconnus au niveau international dans le domaine de l’intervention humanitaire visant à sauver des vies; </w:t>
      </w:r>
    </w:p>
    <w:p w14:paraId="3E6C8CF2" w14:textId="77777777" w:rsidR="00E704B2" w:rsidRPr="00E704B2" w:rsidRDefault="00E704B2" w:rsidP="00EF2416">
      <w:pPr>
        <w:numPr>
          <w:ilvl w:val="0"/>
          <w:numId w:val="17"/>
        </w:numPr>
        <w:spacing w:before="120" w:after="120" w:line="240" w:lineRule="auto"/>
        <w:jc w:val="both"/>
        <w:rPr>
          <w:rFonts w:cs="Times New Roman"/>
        </w:rPr>
      </w:pPr>
      <w:r>
        <w:t>La Norme humanitaire fondamentale de qualité et de redevabilité, qui énonce neuf engagements pour améliorer la qualité et l’efficacité de l’aide humanitaire</w:t>
      </w:r>
      <w:r>
        <w:rPr>
          <w:vertAlign w:val="superscript"/>
        </w:rPr>
        <w:footnoteReference w:id="12"/>
      </w:r>
      <w:r>
        <w:t>;</w:t>
      </w:r>
    </w:p>
    <w:p w14:paraId="6567EBD1" w14:textId="6DE86B88" w:rsidR="00E704B2" w:rsidRPr="00E704B2" w:rsidRDefault="00E704B2" w:rsidP="00EF2416">
      <w:pPr>
        <w:numPr>
          <w:ilvl w:val="0"/>
          <w:numId w:val="17"/>
        </w:numPr>
        <w:spacing w:before="120" w:after="120" w:line="240" w:lineRule="auto"/>
        <w:jc w:val="both"/>
        <w:rPr>
          <w:rFonts w:cs="Times New Roman"/>
        </w:rPr>
      </w:pPr>
      <w:r>
        <w:t xml:space="preserve">Les critères internationalement reconnus du Comité d’aide au développement de l’Organisation de coopération et de développement économiques (CAD-OCDE) relatifs à l’évaluation de l’aide humanitaire, qui sont énoncés dans les </w:t>
      </w:r>
      <w:hyperlink r:id="rId15">
        <w:r>
          <w:t>Conseils pour l’évaluation de l’aide humanitaire apportée dans les situations d’urgence complexes</w:t>
        </w:r>
      </w:hyperlink>
      <w:r>
        <w:rPr>
          <w:rStyle w:val="Rimandonotaapidipagina"/>
        </w:rPr>
        <w:footnoteReference w:id="13"/>
      </w:r>
      <w:r>
        <w:t xml:space="preserve">; </w:t>
      </w:r>
    </w:p>
    <w:p w14:paraId="5ECE8AD7" w14:textId="77777777" w:rsidR="00E704B2" w:rsidRPr="00E704B2" w:rsidRDefault="00E704B2" w:rsidP="00EF2416">
      <w:pPr>
        <w:numPr>
          <w:ilvl w:val="0"/>
          <w:numId w:val="17"/>
        </w:numPr>
        <w:spacing w:before="120" w:after="120" w:line="240" w:lineRule="auto"/>
        <w:jc w:val="both"/>
        <w:rPr>
          <w:rFonts w:cs="Times New Roman"/>
        </w:rPr>
      </w:pPr>
      <w:r>
        <w:t>Le cadre intégré révisé du COSO (Committee of Sponsoring Organisations of the Treadway Commission)</w:t>
      </w:r>
      <w:r>
        <w:rPr>
          <w:vertAlign w:val="superscript"/>
        </w:rPr>
        <w:footnoteReference w:id="14"/>
      </w:r>
      <w:r>
        <w:t xml:space="preserve"> qui a été utilisé pour élaborer des indicateurs de référence et des critères concernant certaines questions, le cas échéant.</w:t>
      </w:r>
    </w:p>
    <w:p w14:paraId="34B132BF" w14:textId="77777777" w:rsidR="00E704B2" w:rsidRPr="00E704B2" w:rsidRDefault="00E704B2" w:rsidP="00EA1E34">
      <w:pPr>
        <w:pStyle w:val="Titolo2"/>
      </w:pPr>
      <w:r>
        <w:t xml:space="preserve">Orientations </w:t>
      </w:r>
    </w:p>
    <w:p w14:paraId="0CF49EA9" w14:textId="77777777" w:rsidR="00E704B2" w:rsidRPr="00EA1E34" w:rsidRDefault="00E704B2" w:rsidP="00EA1E34">
      <w:pPr>
        <w:spacing w:before="120" w:after="120" w:line="240" w:lineRule="auto"/>
        <w:jc w:val="both"/>
        <w:rPr>
          <w:rFonts w:cs="Times New Roman"/>
          <w:szCs w:val="24"/>
        </w:rPr>
      </w:pPr>
      <w:r>
        <w:t>L’auditeur peut s’inspirer des orientations suivantes pour évaluer les exigences minimales et/ou les critères d’aptitude supplémentaires de l’organisation dans les domaines indiqués ci-dessous:</w:t>
      </w:r>
    </w:p>
    <w:p w14:paraId="1F7761A2" w14:textId="77777777" w:rsidR="00E704B2" w:rsidRPr="00E704B2" w:rsidRDefault="00E704B2" w:rsidP="005320E2">
      <w:pPr>
        <w:pStyle w:val="Titolo3"/>
        <w:spacing w:before="360" w:after="240"/>
      </w:pPr>
      <w:r>
        <w:t>Marchés publics</w:t>
      </w:r>
    </w:p>
    <w:p w14:paraId="41E94C15" w14:textId="33BDA511" w:rsidR="00E704B2" w:rsidRPr="00E704B2" w:rsidRDefault="00E704B2" w:rsidP="00E704B2">
      <w:pPr>
        <w:spacing w:before="120" w:after="120" w:line="240" w:lineRule="auto"/>
        <w:jc w:val="both"/>
        <w:rPr>
          <w:rFonts w:cs="Times New Roman"/>
          <w:szCs w:val="24"/>
        </w:rPr>
      </w:pPr>
      <w:r>
        <w:t>La politique de l’organisation en matière d’achat et de passation de marchés</w:t>
      </w:r>
      <w:r w:rsidR="004A7253">
        <w:t xml:space="preserve"> publics</w:t>
      </w:r>
      <w:r>
        <w:t xml:space="preserve"> doit être mise par écrit et décrire </w:t>
      </w:r>
      <w:r w:rsidR="000229CF">
        <w:t xml:space="preserve">de </w:t>
      </w:r>
      <w:r>
        <w:t xml:space="preserve">manière claire et transparente les politiques, les procédures, les responsabilités et les contrôles appropriés. </w:t>
      </w:r>
    </w:p>
    <w:p w14:paraId="2E189F5E" w14:textId="77777777" w:rsidR="00E704B2" w:rsidRPr="00E704B2" w:rsidRDefault="00E704B2" w:rsidP="00E704B2">
      <w:pPr>
        <w:spacing w:before="120" w:after="120" w:line="240" w:lineRule="auto"/>
        <w:jc w:val="both"/>
        <w:rPr>
          <w:rFonts w:cs="Times New Roman"/>
          <w:szCs w:val="24"/>
        </w:rPr>
      </w:pPr>
      <w:r>
        <w:t>La transparence et la concurrence doivent garantir le meilleur rapport qualité-prix, par exemple par la mise en œuvre d’une politique favorisant une large concurrence entre les soumissionnaires tout en limitant les procédures de sollicitation d’une source unique ou les procédures négociées à des montants raisonnables ou à des cas dûment justifiés.</w:t>
      </w:r>
    </w:p>
    <w:p w14:paraId="01A6958B" w14:textId="5B6F2C62" w:rsidR="00E704B2" w:rsidRPr="00E704B2" w:rsidRDefault="00E704B2" w:rsidP="00E704B2">
      <w:pPr>
        <w:spacing w:before="120" w:after="120" w:line="240" w:lineRule="auto"/>
        <w:jc w:val="both"/>
        <w:rPr>
          <w:rFonts w:cs="Times New Roman"/>
          <w:szCs w:val="24"/>
        </w:rPr>
      </w:pPr>
      <w:r>
        <w:t xml:space="preserve">Pour élargir la concurrence, les informations liées à une procédure de passation de marché doivent être transmises ou publiées </w:t>
      </w:r>
      <w:r w:rsidR="000229CF">
        <w:t xml:space="preserve">de </w:t>
      </w:r>
      <w:r>
        <w:t xml:space="preserve">manière ouverte et appropriée. </w:t>
      </w:r>
    </w:p>
    <w:p w14:paraId="6EC3B868" w14:textId="011EC563" w:rsidR="00E704B2" w:rsidRPr="00E704B2" w:rsidRDefault="00E704B2" w:rsidP="00E704B2">
      <w:pPr>
        <w:spacing w:before="120" w:after="120" w:line="240" w:lineRule="auto"/>
        <w:jc w:val="both"/>
        <w:rPr>
          <w:rFonts w:cs="Times New Roman"/>
          <w:szCs w:val="24"/>
        </w:rPr>
      </w:pPr>
      <w:r>
        <w:t xml:space="preserve">Le respect du principe du meilleur rapport qualité/prix est présumé si la politique d’achat de l’organisation contient des dispositions garantissant que, lorsque la valeur estimée du contrat est supérieure à un seuil donné (par exemple 60 000 EUR), un nombre minimal de soumissionnaires (par exemple trois) sont engagés, sous réserve qu’un nombre suffisant de fournisseurs satisfassent aux critères de sélection. </w:t>
      </w:r>
    </w:p>
    <w:p w14:paraId="65864F7D" w14:textId="1693CC92" w:rsidR="00E704B2" w:rsidRPr="00E704B2" w:rsidRDefault="00E704B2" w:rsidP="00E704B2">
      <w:pPr>
        <w:spacing w:before="120" w:after="120" w:line="240" w:lineRule="auto"/>
        <w:jc w:val="both"/>
        <w:rPr>
          <w:rFonts w:cs="Times New Roman"/>
          <w:szCs w:val="24"/>
        </w:rPr>
      </w:pPr>
      <w:r>
        <w:t xml:space="preserve">Au-delà de ce seuil, toute exception au principe de large concurrence doit être pleinement justifiée et documentée; il peut arriver par exemple que seul un fournisseur soit capable de procurer les biens ou le service demandés, ou de répondre à une urgence. </w:t>
      </w:r>
    </w:p>
    <w:p w14:paraId="6CA44E64" w14:textId="77777777" w:rsidR="00E704B2" w:rsidRPr="00E704B2" w:rsidRDefault="00E704B2" w:rsidP="00E704B2">
      <w:pPr>
        <w:spacing w:before="120" w:after="120" w:line="240" w:lineRule="auto"/>
        <w:jc w:val="both"/>
        <w:rPr>
          <w:rFonts w:cs="Times New Roman"/>
          <w:szCs w:val="24"/>
        </w:rPr>
      </w:pPr>
      <w:r>
        <w:t>Le fait qu’un bien ou un service puisse être acheté sans devis (sur la base d'une facture ou d'un reçu) en deçà d’une limite raisonnable (5 000 EUR par exemple) ne signifie pas que le meilleur rapport qualité-prix n’est pas obtenu.</w:t>
      </w:r>
    </w:p>
    <w:p w14:paraId="76604650" w14:textId="5306A50F" w:rsidR="00E704B2" w:rsidRPr="00E704B2" w:rsidRDefault="00E704B2" w:rsidP="00E704B2">
      <w:pPr>
        <w:spacing w:before="120" w:after="120" w:line="240" w:lineRule="auto"/>
        <w:jc w:val="both"/>
        <w:rPr>
          <w:rFonts w:cs="Times New Roman"/>
          <w:szCs w:val="24"/>
        </w:rPr>
      </w:pPr>
      <w:r>
        <w:t xml:space="preserve">Les contrôles internes de l’organisation doivent garantir que la procédure de passation de marché </w:t>
      </w:r>
      <w:r w:rsidR="006120AB">
        <w:t xml:space="preserve">ne soit </w:t>
      </w:r>
      <w:r>
        <w:t>pas fractionnée afin de contourner le principe de concurrence ouverte. Lorsqu’un contrat est subdivisé en plusieurs lots, la valeur de l’ensemble des lots doit être prise en compte pour définir la procédure de passation à utiliser, même si chaque lot fait l’objet d’un contrat individuel.</w:t>
      </w:r>
    </w:p>
    <w:p w14:paraId="66767228" w14:textId="649542E8" w:rsidR="00E704B2" w:rsidRPr="00E704B2" w:rsidRDefault="00E74475" w:rsidP="00E704B2">
      <w:pPr>
        <w:spacing w:before="120" w:after="120" w:line="240" w:lineRule="auto"/>
        <w:jc w:val="both"/>
        <w:rPr>
          <w:rFonts w:cs="Times New Roman"/>
          <w:szCs w:val="24"/>
        </w:rPr>
      </w:pPr>
      <w:r>
        <w:t xml:space="preserve">La politique de l’organisation en matière de passation de marchés </w:t>
      </w:r>
      <w:r w:rsidR="004A7253">
        <w:t xml:space="preserve">publics </w:t>
      </w:r>
      <w:r>
        <w:t>doit prévoir des dispositions visant à prévenir tout conflit d’intérêts. Le fait que les membres du comité d’évaluation ne soient pas autorisés à apprécier les offres dans lesquelles ils se trouvent en situation de conflit d’intérêts est une exigence minimale. Lorsque le recours à un comité d’évaluation n’est pas obligatoire, le contrat ne peut pas être octroyé par une personne qui se trouve en situation de conflit d’intérêts.</w:t>
      </w:r>
    </w:p>
    <w:p w14:paraId="6906558D" w14:textId="6763B055" w:rsidR="00E704B2" w:rsidRPr="00E704B2" w:rsidRDefault="00E704B2" w:rsidP="005320E2">
      <w:pPr>
        <w:pStyle w:val="Titolo3"/>
        <w:spacing w:before="360" w:after="240"/>
      </w:pPr>
      <w:r>
        <w:t>Politique de lutte contre la fraude et la corruption</w:t>
      </w:r>
    </w:p>
    <w:p w14:paraId="330CE714" w14:textId="18F38787" w:rsidR="00E704B2" w:rsidRPr="00E704B2" w:rsidRDefault="00E704B2" w:rsidP="00E704B2">
      <w:pPr>
        <w:spacing w:before="120" w:after="120" w:line="240" w:lineRule="auto"/>
        <w:jc w:val="both"/>
        <w:rPr>
          <w:rFonts w:cs="Times New Roman"/>
          <w:color w:val="000000"/>
          <w:szCs w:val="24"/>
        </w:rPr>
      </w:pPr>
      <w:r>
        <w:rPr>
          <w:color w:val="000000"/>
        </w:rPr>
        <w:t>La politique de l’organisation en matière de lutte contre la fraude et la corruption doit être précise et complète, conforme aux bonnes pratiques (par exemple, les normes humanitaires fondamentales des Nations unies) et faire preuve d’une tolérance zéro à l’égard de la fraude et de la corruption. L’organisation tient compte des possibilités de fraude dans l’évaluation des risques liés à la réalisation des objectifs.</w:t>
      </w:r>
    </w:p>
    <w:p w14:paraId="1109B07A" w14:textId="77777777" w:rsidR="00E704B2" w:rsidRPr="00E704B2" w:rsidRDefault="00E704B2" w:rsidP="00E704B2">
      <w:pPr>
        <w:spacing w:before="120" w:after="120" w:line="276" w:lineRule="auto"/>
        <w:jc w:val="both"/>
        <w:rPr>
          <w:rFonts w:cs="Times New Roman"/>
          <w:color w:val="000000"/>
          <w:szCs w:val="24"/>
        </w:rPr>
      </w:pPr>
      <w:r>
        <w:rPr>
          <w:color w:val="000000"/>
        </w:rPr>
        <w:t xml:space="preserve">Le champ d’application de la politique doit être clairement défini. </w:t>
      </w:r>
    </w:p>
    <w:p w14:paraId="3BC3F35D" w14:textId="77777777" w:rsidR="00E704B2" w:rsidRPr="00E704B2" w:rsidRDefault="00E704B2" w:rsidP="00E704B2">
      <w:pPr>
        <w:spacing w:before="120" w:after="120" w:line="276" w:lineRule="auto"/>
        <w:jc w:val="both"/>
        <w:rPr>
          <w:rFonts w:cs="Times New Roman"/>
          <w:color w:val="000000"/>
          <w:szCs w:val="24"/>
        </w:rPr>
      </w:pPr>
      <w:r>
        <w:rPr>
          <w:color w:val="000000"/>
        </w:rPr>
        <w:t>Cette politique doit:</w:t>
      </w:r>
    </w:p>
    <w:p w14:paraId="675C15B8"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énoncer clairement que des mesures disciplinaires et juridiques appropriées seront prises dans tous les cas, si cela se justifie;</w:t>
      </w:r>
    </w:p>
    <w:p w14:paraId="52BA1300"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 xml:space="preserve">préciser les rôles et responsabilités de tous les membres du personnel, des travailleurs et des contractants en matière de signalement des fraudes; </w:t>
      </w:r>
    </w:p>
    <w:p w14:paraId="4777DB10" w14:textId="77777777" w:rsid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recenser les principaux risques auxquels les membres du personnel sont susceptibles d’être confrontés et décrire le comportement à adopter pour y faire face;</w:t>
      </w:r>
    </w:p>
    <w:p w14:paraId="5C1BDC83" w14:textId="3B504F23" w:rsidR="003A78F6" w:rsidRDefault="004147A1" w:rsidP="00EF2416">
      <w:pPr>
        <w:numPr>
          <w:ilvl w:val="0"/>
          <w:numId w:val="24"/>
        </w:numPr>
        <w:spacing w:before="120" w:after="120" w:line="240" w:lineRule="auto"/>
        <w:contextualSpacing/>
        <w:jc w:val="both"/>
        <w:rPr>
          <w:rFonts w:cs="Times New Roman"/>
          <w:color w:val="000000"/>
          <w:szCs w:val="24"/>
        </w:rPr>
      </w:pPr>
      <w:r>
        <w:rPr>
          <w:color w:val="000000"/>
        </w:rPr>
        <w:t xml:space="preserve">mettre l’accent sur le fait que les dénonciations resteront confidentielles et que les «lanceurs d’alerte» seront protégés. </w:t>
      </w:r>
    </w:p>
    <w:p w14:paraId="33E7766A" w14:textId="77777777" w:rsidR="004147A1" w:rsidRPr="00E704B2" w:rsidRDefault="004147A1" w:rsidP="00DE1E49">
      <w:pPr>
        <w:spacing w:before="120" w:after="120" w:line="240" w:lineRule="auto"/>
        <w:contextualSpacing/>
        <w:jc w:val="both"/>
        <w:rPr>
          <w:rFonts w:cs="Times New Roman"/>
          <w:color w:val="000000"/>
          <w:szCs w:val="24"/>
        </w:rPr>
      </w:pPr>
    </w:p>
    <w:p w14:paraId="51B69EC4" w14:textId="451EF1F0" w:rsidR="003A78F6" w:rsidRPr="00E704B2" w:rsidRDefault="003A78F6" w:rsidP="003A78F6">
      <w:pPr>
        <w:spacing w:before="120" w:after="120" w:line="240" w:lineRule="auto"/>
        <w:jc w:val="both"/>
        <w:rPr>
          <w:rFonts w:cs="Times New Roman"/>
          <w:color w:val="000000"/>
          <w:szCs w:val="24"/>
        </w:rPr>
      </w:pPr>
      <w:r>
        <w:rPr>
          <w:color w:val="000000"/>
        </w:rPr>
        <w:t>Les dispositifs d’alerte doivent disposer d’adresses électroniques et de numéros de téléphone d’urgence confidentiels spéciaux.</w:t>
      </w:r>
    </w:p>
    <w:p w14:paraId="65F5B25F" w14:textId="77777777" w:rsidR="00E704B2" w:rsidRPr="00E704B2" w:rsidRDefault="00E704B2" w:rsidP="005320E2">
      <w:pPr>
        <w:pStyle w:val="Titolo3"/>
        <w:spacing w:before="360" w:after="240"/>
      </w:pPr>
      <w:r>
        <w:t>Politique de préservation</w:t>
      </w:r>
    </w:p>
    <w:p w14:paraId="1DC8D94E" w14:textId="77777777" w:rsidR="00E704B2" w:rsidRPr="00E704B2" w:rsidRDefault="00E704B2" w:rsidP="00E704B2">
      <w:pPr>
        <w:spacing w:before="120" w:after="120" w:line="240" w:lineRule="auto"/>
        <w:jc w:val="both"/>
        <w:rPr>
          <w:rFonts w:cs="Times New Roman"/>
          <w:color w:val="000000"/>
          <w:szCs w:val="24"/>
        </w:rPr>
      </w:pPr>
      <w:r>
        <w:rPr>
          <w:color w:val="000000"/>
        </w:rPr>
        <w:t>La politique de l’organisation doit:</w:t>
      </w:r>
    </w:p>
    <w:p w14:paraId="3D45434D" w14:textId="6AC5F95D"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 xml:space="preserve">énoncer clairement que des mesures disciplinaires et juridiques appropriées seront prises dans tous les cas, si cela se justifie; </w:t>
      </w:r>
    </w:p>
    <w:p w14:paraId="2533C321"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préciser les rôles et responsabilités de tous les membres du personnel, des travailleurs et des contractants en matière de signalement des problèmes en matière de protection;</w:t>
      </w:r>
    </w:p>
    <w:p w14:paraId="4DD1A0E1"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être succincte et éviter l’emploi de termes ambigus;</w:t>
      </w:r>
    </w:p>
    <w:p w14:paraId="7E15B40C" w14:textId="77777777" w:rsidR="00E704B2" w:rsidRPr="00E704B2" w:rsidRDefault="00E704B2" w:rsidP="00EF2416">
      <w:pPr>
        <w:numPr>
          <w:ilvl w:val="0"/>
          <w:numId w:val="24"/>
        </w:numPr>
        <w:spacing w:before="120" w:after="120" w:line="240" w:lineRule="auto"/>
        <w:contextualSpacing/>
        <w:jc w:val="both"/>
        <w:rPr>
          <w:rFonts w:cs="Times New Roman"/>
          <w:color w:val="000000"/>
          <w:szCs w:val="24"/>
        </w:rPr>
      </w:pPr>
      <w:r>
        <w:rPr>
          <w:color w:val="000000"/>
        </w:rPr>
        <w:t>recenser les principaux risques auxquels les membres du personnel sont susceptibles d’être confrontés et décrire le comportement à adopter pour y faire face;</w:t>
      </w:r>
    </w:p>
    <w:p w14:paraId="21A9282C" w14:textId="62D94D74" w:rsidR="00E704B2" w:rsidRPr="00E704B2" w:rsidRDefault="004147A1" w:rsidP="00EF2416">
      <w:pPr>
        <w:numPr>
          <w:ilvl w:val="0"/>
          <w:numId w:val="24"/>
        </w:numPr>
        <w:spacing w:before="120" w:after="120" w:line="240" w:lineRule="auto"/>
        <w:contextualSpacing/>
        <w:jc w:val="both"/>
        <w:rPr>
          <w:rFonts w:cs="Times New Roman"/>
          <w:color w:val="000000"/>
          <w:szCs w:val="24"/>
        </w:rPr>
      </w:pPr>
      <w:r>
        <w:rPr>
          <w:color w:val="000000"/>
        </w:rPr>
        <w:t xml:space="preserve">mettre l’accent sur le fait que les </w:t>
      </w:r>
      <w:r w:rsidR="006120AB">
        <w:rPr>
          <w:color w:val="000000"/>
        </w:rPr>
        <w:t xml:space="preserve">signalements </w:t>
      </w:r>
      <w:r>
        <w:rPr>
          <w:color w:val="000000"/>
        </w:rPr>
        <w:t xml:space="preserve">resteront confidentiels et que les «lanceurs d’alerte» seront protégés. </w:t>
      </w:r>
    </w:p>
    <w:p w14:paraId="7176E48B" w14:textId="29D0E425" w:rsidR="00E704B2" w:rsidRPr="00E704B2" w:rsidRDefault="00E704B2" w:rsidP="00E704B2">
      <w:pPr>
        <w:spacing w:before="120" w:after="120" w:line="240" w:lineRule="auto"/>
        <w:jc w:val="both"/>
        <w:rPr>
          <w:rFonts w:cs="Times New Roman"/>
          <w:color w:val="000000"/>
          <w:szCs w:val="24"/>
        </w:rPr>
      </w:pPr>
      <w:r>
        <w:rPr>
          <w:color w:val="000000"/>
        </w:rPr>
        <w:t>Les dispositifs d’alerte doivent disposer d’adresses électroniques et de numéros de téléphone d’urgence confidentiels spéciaux.</w:t>
      </w:r>
    </w:p>
    <w:p w14:paraId="792A8A0D" w14:textId="77777777" w:rsidR="00E704B2" w:rsidRPr="00E704B2" w:rsidRDefault="00E704B2" w:rsidP="005320E2">
      <w:pPr>
        <w:pStyle w:val="Titolo3"/>
        <w:spacing w:before="360" w:after="240"/>
      </w:pPr>
      <w:r>
        <w:t>Principales caractéristiques des questions environnementales</w:t>
      </w:r>
    </w:p>
    <w:p w14:paraId="6FFF01BE" w14:textId="51FCB355" w:rsidR="00E704B2" w:rsidRPr="00E704B2" w:rsidRDefault="00E704B2" w:rsidP="00E704B2">
      <w:pPr>
        <w:spacing w:before="120" w:after="120" w:line="240" w:lineRule="auto"/>
        <w:jc w:val="both"/>
        <w:rPr>
          <w:rFonts w:cs="Times New Roman"/>
          <w:color w:val="000000"/>
          <w:szCs w:val="24"/>
        </w:rPr>
      </w:pPr>
      <w:r>
        <w:rPr>
          <w:color w:val="000000"/>
        </w:rPr>
        <w:t xml:space="preserve">L’organisation est censée élaborer des politiques d’entreprise à l’intention du personnel, afin de l’orienter sur la manière de protéger l’environnement local, d’identifier les éventuels risques environnementaux et d’augmenter la fréquence de leur signalement. </w:t>
      </w:r>
    </w:p>
    <w:p w14:paraId="24F2BAF4" w14:textId="6F4A9ADB" w:rsidR="00E704B2" w:rsidRDefault="00E704B2" w:rsidP="00E704B2">
      <w:pPr>
        <w:spacing w:before="120" w:after="120" w:line="240" w:lineRule="auto"/>
        <w:jc w:val="both"/>
        <w:rPr>
          <w:rFonts w:cs="Times New Roman"/>
          <w:color w:val="000000"/>
          <w:szCs w:val="24"/>
        </w:rPr>
      </w:pPr>
      <w:r>
        <w:rPr>
          <w:color w:val="000000"/>
        </w:rPr>
        <w:t>L’organisation a défini des procédures conformes à un ensemble de principes généralement admis relatifs à la préservation de l’environnement, tels que les principes de passation de marchés publics écologiques de l’Union européenne</w:t>
      </w:r>
      <w:r>
        <w:rPr>
          <w:rStyle w:val="Rimandonotaapidipagina"/>
          <w:color w:val="000000"/>
        </w:rPr>
        <w:footnoteReference w:id="15"/>
      </w:r>
      <w:r>
        <w:rPr>
          <w:color w:val="000000"/>
        </w:rPr>
        <w:t xml:space="preserve"> et l’Initiative pour la transparence du secteur des industries extractives</w:t>
      </w:r>
      <w:r>
        <w:rPr>
          <w:rStyle w:val="Rimandonotaapidipagina"/>
          <w:color w:val="000000"/>
        </w:rPr>
        <w:footnoteReference w:id="16"/>
      </w:r>
      <w:r>
        <w:rPr>
          <w:color w:val="000000"/>
        </w:rPr>
        <w:t>.</w:t>
      </w:r>
      <w:bookmarkEnd w:id="84"/>
      <w:bookmarkEnd w:id="85"/>
    </w:p>
    <w:p w14:paraId="4BD1E215" w14:textId="77777777" w:rsidR="00E704B2" w:rsidRPr="00E704B2" w:rsidRDefault="000C4D2E" w:rsidP="00AD79C0">
      <w:pPr>
        <w:pStyle w:val="Titolo1"/>
        <w:spacing w:before="120"/>
      </w:pPr>
      <w:bookmarkStart w:id="144" w:name="_Toc11338493"/>
      <w:r>
        <w:t>AUTRES QUESTIONS</w:t>
      </w:r>
      <w:bookmarkEnd w:id="144"/>
    </w:p>
    <w:p w14:paraId="4DDB1AD1" w14:textId="77777777" w:rsidR="00E704B2" w:rsidRPr="00E704B2" w:rsidRDefault="00E704B2" w:rsidP="00AD79C0">
      <w:pPr>
        <w:pStyle w:val="Titolo2"/>
      </w:pPr>
      <w:r>
        <w:t>Suivi</w:t>
      </w:r>
    </w:p>
    <w:p w14:paraId="69A09FEF" w14:textId="71614914" w:rsidR="00E704B2" w:rsidRPr="00E704B2" w:rsidRDefault="00E704B2" w:rsidP="00E704B2">
      <w:pPr>
        <w:spacing w:before="120" w:after="120" w:line="276" w:lineRule="auto"/>
        <w:jc w:val="both"/>
        <w:rPr>
          <w:rFonts w:cs="Times New Roman"/>
          <w:szCs w:val="24"/>
        </w:rPr>
      </w:pPr>
      <w:bookmarkStart w:id="145" w:name="_Toc277764741"/>
      <w:r>
        <w:rPr>
          <w:color w:val="000000"/>
        </w:rPr>
        <w:t xml:space="preserve">L’organisation peut demander une aide supplémentaire à l’auditeur dans le cadre du suivi du rapport d’évaluation final. Une fois qu’elle a effectivement appliqué les recommandations découlant de ce rapport d’évaluation, l’organisation peut demander à l’auditeur d’effectuer une évaluation d’un ou plusieurs points si le rapport d’évaluation final a conclu que </w:t>
      </w:r>
      <w:r>
        <w:t xml:space="preserve">l’organisation ne respectait pas les exigences relatives au(x) point(s) concerné(s). </w:t>
      </w:r>
    </w:p>
    <w:p w14:paraId="52249620" w14:textId="77777777" w:rsidR="00E704B2" w:rsidRPr="00E704B2" w:rsidRDefault="00E704B2" w:rsidP="005320E2">
      <w:pPr>
        <w:spacing w:before="120" w:after="120" w:line="276" w:lineRule="auto"/>
        <w:jc w:val="both"/>
        <w:rPr>
          <w:rFonts w:cs="Times New Roman"/>
          <w:szCs w:val="24"/>
        </w:rPr>
      </w:pPr>
      <w:r>
        <w:rPr>
          <w:color w:val="000000"/>
        </w:rPr>
        <w:t>Cette tâche n’est pas prévue par les présents TdR et, si une telle assistance est requise, l’organisation</w:t>
      </w:r>
      <w:r>
        <w:t xml:space="preserve"> devra </w:t>
      </w:r>
      <w:r>
        <w:rPr>
          <w:color w:val="000000"/>
        </w:rPr>
        <w:t>émettre un avenant au bon de commande</w:t>
      </w:r>
      <w:r>
        <w:t xml:space="preserve"> ou à l’autre document contractuel applicable à une mission de ce type.</w:t>
      </w:r>
    </w:p>
    <w:bookmarkEnd w:id="145"/>
    <w:p w14:paraId="60A01E98" w14:textId="7517E857" w:rsidR="00E704B2" w:rsidRPr="00E704B2" w:rsidRDefault="007039A3" w:rsidP="005320E2">
      <w:pPr>
        <w:pStyle w:val="Titolo2"/>
        <w:spacing w:before="360" w:after="240"/>
      </w:pPr>
      <w:r>
        <w:t>Divers</w:t>
      </w:r>
    </w:p>
    <w:p w14:paraId="79C2864E" w14:textId="77777777" w:rsidR="00E704B2" w:rsidRPr="00E704B2" w:rsidRDefault="0053409F" w:rsidP="00E704B2">
      <w:pPr>
        <w:keepLines/>
        <w:shd w:val="clear" w:color="auto" w:fill="C0C0C0"/>
        <w:spacing w:before="120" w:after="120" w:line="276" w:lineRule="auto"/>
        <w:jc w:val="both"/>
        <w:rPr>
          <w:rFonts w:cs="Times New Roman"/>
          <w:i/>
          <w:snapToGrid w:val="0"/>
          <w:szCs w:val="24"/>
        </w:rPr>
      </w:pPr>
      <w:r>
        <w:rPr>
          <w:i/>
          <w:snapToGrid w:val="0"/>
        </w:rPr>
        <w:t xml:space="preserve">&lt; Cette section peut être utilisée pour énoncer des conditions administratives particulières qui ne sont pas prévues dans les sections précédentes. </w:t>
      </w:r>
      <w:r>
        <w:rPr>
          <w:i/>
        </w:rPr>
        <w:t>Par exemple: les honoraires convenus et les frais remboursables résultant de l’offre de services. &gt;</w:t>
      </w:r>
    </w:p>
    <w:p w14:paraId="36A75D6A" w14:textId="33C86BC8" w:rsidR="00E704B2" w:rsidRPr="00E704B2" w:rsidRDefault="00E704B2" w:rsidP="006841DB">
      <w:pPr>
        <w:pStyle w:val="Titolo1"/>
      </w:pPr>
      <w:r>
        <w:t>Annexe</w:t>
      </w:r>
    </w:p>
    <w:p w14:paraId="26B684FA" w14:textId="2818DFAA" w:rsidR="00BB5CC8" w:rsidRPr="00BB5CC8" w:rsidRDefault="00E704B2" w:rsidP="0052057D">
      <w:pPr>
        <w:spacing w:before="120" w:after="120" w:line="240" w:lineRule="auto"/>
        <w:jc w:val="both"/>
        <w:rPr>
          <w:rFonts w:cs="Times New Roman"/>
          <w:szCs w:val="24"/>
        </w:rPr>
      </w:pPr>
      <w:bookmarkStart w:id="146" w:name="_Toc143679227"/>
      <w:r>
        <w:rPr>
          <w:b/>
        </w:rPr>
        <w:t xml:space="preserve">Annexe A </w:t>
      </w:r>
      <w:r>
        <w:tab/>
      </w:r>
      <w:bookmarkEnd w:id="146"/>
      <w:r>
        <w:rPr>
          <w:b/>
        </w:rPr>
        <w:t xml:space="preserve">Rapport d’évaluation </w:t>
      </w:r>
      <w:r>
        <w:rPr>
          <w:b/>
          <w:u w:val="single"/>
        </w:rPr>
        <w:t>IMPORTANT</w:t>
      </w:r>
      <w:r>
        <w:t>: l’</w:t>
      </w:r>
      <w:r>
        <w:rPr>
          <w:b/>
          <w:i/>
        </w:rPr>
        <w:t>annexe A</w:t>
      </w:r>
      <w:r>
        <w:t xml:space="preserve">, c’est-à-dire le rapport d’évaluation et ses annexes 1 à 5, fait partie intégrante des présents termes de référence. </w:t>
      </w:r>
    </w:p>
    <w:sectPr w:rsidR="00BB5CC8" w:rsidRPr="00BB5CC8">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9548E" w14:textId="77777777" w:rsidR="00632C7D" w:rsidRDefault="00632C7D" w:rsidP="00E704B2">
      <w:pPr>
        <w:spacing w:after="0" w:line="240" w:lineRule="auto"/>
      </w:pPr>
      <w:r>
        <w:separator/>
      </w:r>
    </w:p>
  </w:endnote>
  <w:endnote w:type="continuationSeparator" w:id="0">
    <w:p w14:paraId="487AD0A8" w14:textId="77777777" w:rsidR="00632C7D" w:rsidRDefault="00632C7D" w:rsidP="00E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Bold">
    <w:altName w:val="Noto Serif"/>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6DC87" w14:textId="77777777" w:rsidR="00632C7D" w:rsidRPr="00282244" w:rsidRDefault="00632C7D" w:rsidP="00BB5CC8">
    <w:pPr>
      <w:pStyle w:val="FooterLandscape"/>
      <w:rPr>
        <w:rFonts w:ascii="Arial" w:hAnsi="Arial" w:cs="Arial"/>
        <w:b/>
        <w:sz w:val="4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2499D" w14:textId="77777777" w:rsidR="00632C7D" w:rsidRDefault="00632C7D" w:rsidP="00E704B2">
      <w:pPr>
        <w:spacing w:after="0" w:line="240" w:lineRule="auto"/>
      </w:pPr>
      <w:r>
        <w:separator/>
      </w:r>
    </w:p>
  </w:footnote>
  <w:footnote w:type="continuationSeparator" w:id="0">
    <w:p w14:paraId="1D0C8276" w14:textId="77777777" w:rsidR="00632C7D" w:rsidRDefault="00632C7D" w:rsidP="00E704B2">
      <w:pPr>
        <w:spacing w:after="0" w:line="240" w:lineRule="auto"/>
      </w:pPr>
      <w:r>
        <w:continuationSeparator/>
      </w:r>
    </w:p>
  </w:footnote>
  <w:footnote w:id="1">
    <w:p w14:paraId="7683C543" w14:textId="3BFF22A9" w:rsidR="00632C7D" w:rsidRPr="00722A6E" w:rsidRDefault="00632C7D">
      <w:pPr>
        <w:pStyle w:val="Testonotaapidipagina"/>
      </w:pPr>
      <w:r>
        <w:rPr>
          <w:rStyle w:val="Rimandonotaapidipagina"/>
        </w:rPr>
        <w:footnoteRef/>
      </w:r>
      <w:r>
        <w:t xml:space="preserve"> En ce qui concerne notamment le travail des enfants, l’exploitation sexuelle et les abus sexuels, le blanchiment d’argent et le financement du terrorisme.  </w:t>
      </w:r>
    </w:p>
  </w:footnote>
  <w:footnote w:id="2">
    <w:p w14:paraId="58D62C4A" w14:textId="77777777" w:rsidR="00632C7D" w:rsidRPr="0015153C" w:rsidRDefault="00632C7D" w:rsidP="00E704B2">
      <w:pPr>
        <w:pStyle w:val="Testonotaapidipagina"/>
        <w:ind w:left="0" w:hanging="11"/>
        <w:rPr>
          <w:lang w:val="en-US"/>
        </w:rPr>
      </w:pPr>
      <w:r>
        <w:rPr>
          <w:rStyle w:val="Rimandonotaapidipagina"/>
        </w:rPr>
        <w:footnoteRef/>
      </w:r>
      <w:r w:rsidRPr="0015153C">
        <w:rPr>
          <w:lang w:val="en-US"/>
        </w:rPr>
        <w:t xml:space="preserve"> Institute of Chartered Accountants of England and Wales (ICAEW), publication technique AAF 01/06, «Assurance reports on internal controls of service organizations made available to third parties», page 18.  </w:t>
      </w:r>
    </w:p>
  </w:footnote>
  <w:footnote w:id="3">
    <w:p w14:paraId="721F7BF0" w14:textId="77777777" w:rsidR="00632C7D" w:rsidRPr="0015153C" w:rsidRDefault="00632C7D" w:rsidP="00C90435">
      <w:pPr>
        <w:pStyle w:val="Testonotaapidipagina"/>
        <w:ind w:left="0" w:hanging="11"/>
        <w:rPr>
          <w:lang w:val="en-US"/>
        </w:rPr>
      </w:pPr>
      <w:r>
        <w:rPr>
          <w:rStyle w:val="Rimandonotaapidipagina"/>
        </w:rPr>
        <w:footnoteRef/>
      </w:r>
      <w:r w:rsidRPr="0015153C">
        <w:rPr>
          <w:lang w:val="en-US"/>
        </w:rPr>
        <w:t xml:space="preserve"> Institute of Chartered Accountants of England and Wales (ICAEW), publication technique AAF 01/06, «Assurance reports on internal controls of service organizations made available to third parties», page 18.  </w:t>
      </w:r>
    </w:p>
  </w:footnote>
  <w:footnote w:id="4">
    <w:p w14:paraId="07080AD1" w14:textId="0A9A69A3" w:rsidR="00632C7D" w:rsidRPr="00C730E9" w:rsidRDefault="00632C7D">
      <w:pPr>
        <w:pStyle w:val="Testonotaapidipagina"/>
        <w:rPr>
          <w:lang w:val="en-IE"/>
        </w:rPr>
      </w:pPr>
      <w:r>
        <w:rPr>
          <w:rStyle w:val="Rimandonotaapidipagina"/>
        </w:rPr>
        <w:footnoteRef/>
      </w:r>
      <w:r w:rsidRPr="0015153C">
        <w:rPr>
          <w:lang w:val="en-US"/>
        </w:rPr>
        <w:t xml:space="preserve"> </w:t>
      </w:r>
      <w:hyperlink r:id="rId1">
        <w:r w:rsidRPr="0015153C">
          <w:rPr>
            <w:rStyle w:val="Collegamentoipertestuale"/>
            <w:lang w:val="en-US"/>
          </w:rPr>
          <w:t>http://hqai.org/Organisations/</w:t>
        </w:r>
      </w:hyperlink>
      <w:r w:rsidRPr="0015153C">
        <w:rPr>
          <w:lang w:val="en-US"/>
        </w:rPr>
        <w:t xml:space="preserve"> </w:t>
      </w:r>
    </w:p>
  </w:footnote>
  <w:footnote w:id="5">
    <w:p w14:paraId="6B42E0BC" w14:textId="1C82A948" w:rsidR="00632C7D" w:rsidRPr="0015153C" w:rsidRDefault="00632C7D">
      <w:pPr>
        <w:pStyle w:val="Testonotaapidipagina"/>
        <w:rPr>
          <w:lang w:val="en-US"/>
        </w:rPr>
      </w:pPr>
      <w:r>
        <w:rPr>
          <w:rStyle w:val="Rimandonotaapidipagina"/>
        </w:rPr>
        <w:footnoteRef/>
      </w:r>
      <w:r w:rsidRPr="0015153C">
        <w:rPr>
          <w:lang w:val="en-US"/>
        </w:rPr>
        <w:t xml:space="preserve"> dgecho-partners-helpdesk.eu/.</w:t>
      </w:r>
    </w:p>
  </w:footnote>
  <w:footnote w:id="6">
    <w:p w14:paraId="2B6DF7F6" w14:textId="46995538" w:rsidR="00632C7D" w:rsidRPr="009F3967" w:rsidRDefault="00632C7D" w:rsidP="00E704B2">
      <w:pPr>
        <w:pStyle w:val="Testonotaapidipagina"/>
        <w:ind w:left="0" w:firstLine="0"/>
        <w:rPr>
          <w:sz w:val="18"/>
          <w:szCs w:val="18"/>
        </w:rPr>
      </w:pPr>
      <w:r>
        <w:rPr>
          <w:rStyle w:val="Rimandonotaapidipagina"/>
        </w:rPr>
        <w:footnoteRef/>
      </w:r>
      <w:r>
        <w:t xml:space="preserve"> </w:t>
      </w:r>
      <w:r>
        <w:rPr>
          <w:sz w:val="18"/>
        </w:rPr>
        <w:t>Toute référence à la législation de l’Union</w:t>
      </w:r>
      <w:r w:rsidRPr="00643B3D">
        <w:t xml:space="preserve"> </w:t>
      </w:r>
      <w:r>
        <w:t>européenne</w:t>
      </w:r>
      <w:r>
        <w:rPr>
          <w:sz w:val="18"/>
        </w:rPr>
        <w:t xml:space="preserve"> s’entend comme faite à la version applicable la plus récente du texte législatif publié au journal officiel de l’Union européenne.</w:t>
      </w:r>
    </w:p>
  </w:footnote>
  <w:footnote w:id="7">
    <w:p w14:paraId="1C9DDF25" w14:textId="11967F42" w:rsidR="00632C7D" w:rsidRDefault="00632C7D" w:rsidP="00A15A01">
      <w:pPr>
        <w:pStyle w:val="Testonotaapidipagina"/>
        <w:ind w:left="0" w:firstLine="0"/>
      </w:pPr>
      <w:r>
        <w:rPr>
          <w:rStyle w:val="Rimandonotaapidipagina"/>
        </w:rPr>
        <w:footnoteRef/>
      </w:r>
      <w:r>
        <w:t xml:space="preserve"> </w:t>
      </w:r>
      <w:r>
        <w:rPr>
          <w:rStyle w:val="Collegamentoipertestuale"/>
        </w:rPr>
        <w:t>Règlement (CE) nº 1257/96 du Conseil du 20 juin 1996 concernant l’aide humanitaire</w:t>
      </w:r>
    </w:p>
  </w:footnote>
  <w:footnote w:id="8">
    <w:p w14:paraId="1342392D" w14:textId="7B37D20B" w:rsidR="00632C7D" w:rsidRDefault="00632C7D" w:rsidP="00E704B2">
      <w:pPr>
        <w:pStyle w:val="Testonotaapidipagina"/>
      </w:pPr>
      <w:r>
        <w:rPr>
          <w:rStyle w:val="Rimandonotaapidipagina"/>
        </w:rPr>
        <w:footnoteRef/>
      </w:r>
      <w:r>
        <w:t xml:space="preserve"> </w:t>
      </w:r>
      <w:hyperlink r:id="rId2">
        <w:r>
          <w:rPr>
            <w:rStyle w:val="Collegamentoipertestuale"/>
          </w:rPr>
          <w:t>https://ec.europa.eu/info/publications/financial-regulations_fr</w:t>
        </w:r>
      </w:hyperlink>
      <w:r>
        <w:t>.</w:t>
      </w:r>
    </w:p>
  </w:footnote>
  <w:footnote w:id="9">
    <w:p w14:paraId="6F310ABA" w14:textId="77777777" w:rsidR="00632C7D" w:rsidRPr="002015CE" w:rsidRDefault="00632C7D" w:rsidP="00E704B2">
      <w:pPr>
        <w:pStyle w:val="Testonotaapidipagina"/>
        <w:ind w:left="0" w:firstLine="0"/>
        <w:rPr>
          <w:sz w:val="18"/>
          <w:szCs w:val="18"/>
        </w:rPr>
      </w:pPr>
      <w:r>
        <w:rPr>
          <w:rStyle w:val="Rimandonotaapidipagina"/>
        </w:rPr>
        <w:footnoteRef/>
      </w:r>
      <w:r>
        <w:rPr>
          <w:sz w:val="18"/>
        </w:rPr>
        <w:t xml:space="preserve"> Cette liste n’est pas exhaustive. Voir également les publications de la DG ECHO telles que </w:t>
      </w:r>
      <w:hyperlink r:id="rId3">
        <w:r>
          <w:t>les fiches d’information</w:t>
        </w:r>
      </w:hyperlink>
      <w:r>
        <w:rPr>
          <w:sz w:val="18"/>
        </w:rPr>
        <w:t xml:space="preserve"> et les </w:t>
      </w:r>
      <w:hyperlink r:id="rId4">
        <w:r>
          <w:t>politiques sectorielles</w:t>
        </w:r>
      </w:hyperlink>
      <w:r>
        <w:rPr>
          <w:sz w:val="18"/>
        </w:rPr>
        <w:t xml:space="preserve">.  </w:t>
      </w:r>
    </w:p>
  </w:footnote>
  <w:footnote w:id="10">
    <w:p w14:paraId="477561A1" w14:textId="3BBE9CAE" w:rsidR="00632C7D" w:rsidRDefault="00632C7D" w:rsidP="00E704B2">
      <w:pPr>
        <w:pStyle w:val="Testonotaapidipagina"/>
        <w:ind w:left="0" w:firstLine="0"/>
        <w:rPr>
          <w:sz w:val="18"/>
          <w:szCs w:val="18"/>
        </w:rPr>
      </w:pPr>
      <w:r>
        <w:rPr>
          <w:rStyle w:val="Rimandonotaapidipagina"/>
        </w:rPr>
        <w:footnoteRef/>
      </w:r>
      <w:r>
        <w:rPr>
          <w:sz w:val="18"/>
        </w:rPr>
        <w:t xml:space="preserve"> Déclaration commune du Conseil et des représentants des gouvernements des États membres réunis au sein du Conseil, du Parlement européen et de la Commission européenne (JO C 25 du 30.1.2008, p. 1).</w:t>
      </w:r>
    </w:p>
    <w:p w14:paraId="1A8DA318" w14:textId="7A32B61A" w:rsidR="00632C7D" w:rsidRDefault="001E7DC1" w:rsidP="00E704B2">
      <w:pPr>
        <w:pStyle w:val="Testonotaapidipagina"/>
        <w:ind w:left="0" w:firstLine="0"/>
      </w:pPr>
      <w:hyperlink r:id="rId5">
        <w:r w:rsidR="00632C7D">
          <w:rPr>
            <w:rStyle w:val="Collegamentoipertestuale"/>
          </w:rPr>
          <w:t>https://eur-lex.europa.eu/legal-content/FR/TXT/?uri=CELEX:42008X0130(01)</w:t>
        </w:r>
      </w:hyperlink>
      <w:r w:rsidR="00632C7D">
        <w:t xml:space="preserve"> </w:t>
      </w:r>
    </w:p>
  </w:footnote>
  <w:footnote w:id="11">
    <w:p w14:paraId="287607CE" w14:textId="2781FA77" w:rsidR="00632C7D" w:rsidRPr="00880872" w:rsidRDefault="00632C7D" w:rsidP="00C730E9">
      <w:pPr>
        <w:pStyle w:val="Testonotaapidipagina"/>
      </w:pPr>
      <w:r>
        <w:rPr>
          <w:rStyle w:val="Rimandonotaapidipagina"/>
        </w:rPr>
        <w:footnoteRef/>
      </w:r>
      <w:r>
        <w:t xml:space="preserve"> </w:t>
      </w:r>
      <w:hyperlink r:id="rId6">
        <w:r>
          <w:rPr>
            <w:rStyle w:val="Collegamentoipertestuale"/>
          </w:rPr>
          <w:t>https://spherestandards.org/fr/manuel-2018/</w:t>
        </w:r>
      </w:hyperlink>
    </w:p>
  </w:footnote>
  <w:footnote w:id="12">
    <w:p w14:paraId="7D2F323B" w14:textId="77777777" w:rsidR="00632C7D" w:rsidRPr="00DB2C82" w:rsidRDefault="00632C7D" w:rsidP="00E704B2">
      <w:pPr>
        <w:pStyle w:val="Testonotaapidipagina"/>
        <w:rPr>
          <w:sz w:val="18"/>
          <w:szCs w:val="18"/>
        </w:rPr>
      </w:pPr>
      <w:r>
        <w:rPr>
          <w:rStyle w:val="Rimandonotaapidipagina"/>
        </w:rPr>
        <w:footnoteRef/>
      </w:r>
      <w:r>
        <w:t xml:space="preserve"> </w:t>
      </w:r>
      <w:hyperlink r:id="rId7">
        <w:r>
          <w:rPr>
            <w:rStyle w:val="Collegamentoipertestuale"/>
          </w:rPr>
          <w:t>https://corehumanitarianstandard.org/</w:t>
        </w:r>
      </w:hyperlink>
    </w:p>
  </w:footnote>
  <w:footnote w:id="13">
    <w:p w14:paraId="087223B1" w14:textId="30248AB3" w:rsidR="00632C7D" w:rsidRDefault="00632C7D">
      <w:pPr>
        <w:pStyle w:val="Testonotaapidipagina"/>
      </w:pPr>
      <w:r>
        <w:rPr>
          <w:rStyle w:val="Rimandonotaapidipagina"/>
        </w:rPr>
        <w:footnoteRef/>
      </w:r>
      <w:r>
        <w:t xml:space="preserve"> </w:t>
      </w:r>
      <w:hyperlink r:id="rId8">
        <w:r>
          <w:rPr>
            <w:rStyle w:val="Collegamentoipertestuale"/>
          </w:rPr>
          <w:t>https://www.oecd.org/fr/cad/evaluation/2668696.pdf</w:t>
        </w:r>
      </w:hyperlink>
      <w:r>
        <w:t xml:space="preserve"> </w:t>
      </w:r>
    </w:p>
  </w:footnote>
  <w:footnote w:id="14">
    <w:p w14:paraId="16A6EBFC" w14:textId="77777777" w:rsidR="00632C7D" w:rsidRDefault="00632C7D" w:rsidP="00E704B2">
      <w:pPr>
        <w:pStyle w:val="Testonotaapidipagina"/>
        <w:ind w:left="0" w:firstLine="0"/>
      </w:pPr>
      <w:r>
        <w:rPr>
          <w:rStyle w:val="Rimandonotaapidipagina"/>
        </w:rPr>
        <w:footnoteRef/>
      </w:r>
      <w:r>
        <w:t xml:space="preserve"> </w:t>
      </w:r>
      <w:hyperlink r:id="rId9">
        <w:r>
          <w:rPr>
            <w:rStyle w:val="Collegamentoipertestuale"/>
          </w:rPr>
          <w:t>https://www.coso.org/Pages/guidance.aspx</w:t>
        </w:r>
      </w:hyperlink>
    </w:p>
    <w:p w14:paraId="1CB7E16A" w14:textId="77777777" w:rsidR="00632C7D" w:rsidRPr="00852E31" w:rsidRDefault="00632C7D" w:rsidP="00E704B2">
      <w:pPr>
        <w:pStyle w:val="Testonotaapidipagina"/>
        <w:ind w:left="0" w:firstLine="0"/>
      </w:pPr>
      <w:r>
        <w:t xml:space="preserve"> </w:t>
      </w:r>
    </w:p>
  </w:footnote>
  <w:footnote w:id="15">
    <w:p w14:paraId="554F6231" w14:textId="2D3ECFB1" w:rsidR="00632C7D" w:rsidRDefault="00632C7D">
      <w:pPr>
        <w:pStyle w:val="Testonotaapidipagina"/>
      </w:pPr>
      <w:r>
        <w:rPr>
          <w:rStyle w:val="Rimandonotaapidipagina"/>
        </w:rPr>
        <w:footnoteRef/>
      </w:r>
      <w:r>
        <w:t xml:space="preserve"> </w:t>
      </w:r>
      <w:hyperlink r:id="rId10">
        <w:r>
          <w:rPr>
            <w:rStyle w:val="Collegamentoipertestuale"/>
          </w:rPr>
          <w:t>https://ec.europa.eu/environment/gpp/index_en.htm</w:t>
        </w:r>
      </w:hyperlink>
      <w:r>
        <w:t xml:space="preserve"> </w:t>
      </w:r>
    </w:p>
  </w:footnote>
  <w:footnote w:id="16">
    <w:p w14:paraId="1C23B8E6" w14:textId="3B15FE9F" w:rsidR="00632C7D" w:rsidRDefault="00632C7D">
      <w:pPr>
        <w:pStyle w:val="Testonotaapidipagina"/>
      </w:pPr>
      <w:r>
        <w:rPr>
          <w:rStyle w:val="Rimandonotaapidipagina"/>
        </w:rPr>
        <w:footnoteRef/>
      </w:r>
      <w:r>
        <w:t xml:space="preserve"> https://eiti.org/fr/node/1.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FC749F8C"/>
    <w:lvl w:ilvl="0">
      <w:start w:val="1"/>
      <w:numFmt w:val="decimal"/>
      <w:pStyle w:val="Numeroelenco4"/>
      <w:lvlText w:val="%1."/>
      <w:lvlJc w:val="left"/>
      <w:pPr>
        <w:tabs>
          <w:tab w:val="num" w:pos="1209"/>
        </w:tabs>
        <w:ind w:left="1209" w:hanging="360"/>
      </w:pPr>
    </w:lvl>
  </w:abstractNum>
  <w:abstractNum w:abstractNumId="1" w15:restartNumberingAfterBreak="0">
    <w:nsid w:val="FFFFFF7E"/>
    <w:multiLevelType w:val="singleLevel"/>
    <w:tmpl w:val="D8FA7FD6"/>
    <w:lvl w:ilvl="0">
      <w:start w:val="1"/>
      <w:numFmt w:val="decimal"/>
      <w:pStyle w:val="Numeroelenco3"/>
      <w:lvlText w:val="%1."/>
      <w:lvlJc w:val="left"/>
      <w:pPr>
        <w:tabs>
          <w:tab w:val="num" w:pos="926"/>
        </w:tabs>
        <w:ind w:left="926" w:hanging="360"/>
      </w:pPr>
    </w:lvl>
  </w:abstractNum>
  <w:abstractNum w:abstractNumId="2" w15:restartNumberingAfterBreak="0">
    <w:nsid w:val="FFFFFF7F"/>
    <w:multiLevelType w:val="singleLevel"/>
    <w:tmpl w:val="E7762D32"/>
    <w:lvl w:ilvl="0">
      <w:start w:val="1"/>
      <w:numFmt w:val="decimal"/>
      <w:pStyle w:val="Numeroelenco2"/>
      <w:lvlText w:val="%1."/>
      <w:lvlJc w:val="left"/>
      <w:pPr>
        <w:tabs>
          <w:tab w:val="num" w:pos="643"/>
        </w:tabs>
        <w:ind w:left="643" w:hanging="360"/>
      </w:pPr>
    </w:lvl>
  </w:abstractNum>
  <w:abstractNum w:abstractNumId="3" w15:restartNumberingAfterBreak="0">
    <w:nsid w:val="FFFFFF88"/>
    <w:multiLevelType w:val="singleLevel"/>
    <w:tmpl w:val="299830FE"/>
    <w:lvl w:ilvl="0">
      <w:start w:val="1"/>
      <w:numFmt w:val="decimal"/>
      <w:pStyle w:val="Numeroelenco"/>
      <w:lvlText w:val="%1."/>
      <w:lvlJc w:val="left"/>
      <w:pPr>
        <w:tabs>
          <w:tab w:val="num" w:pos="360"/>
        </w:tabs>
        <w:ind w:left="360" w:hanging="360"/>
      </w:pPr>
    </w:lvl>
  </w:abstractNum>
  <w:abstractNum w:abstractNumId="4" w15:restartNumberingAfterBreak="0">
    <w:nsid w:val="FFFFFF89"/>
    <w:multiLevelType w:val="singleLevel"/>
    <w:tmpl w:val="47389342"/>
    <w:lvl w:ilvl="0">
      <w:start w:val="1"/>
      <w:numFmt w:val="bullet"/>
      <w:pStyle w:val="Puntoelenco"/>
      <w:lvlText w:val=""/>
      <w:lvlJc w:val="left"/>
      <w:pPr>
        <w:tabs>
          <w:tab w:val="num" w:pos="360"/>
        </w:tabs>
        <w:ind w:left="360" w:hanging="360"/>
      </w:pPr>
      <w:rPr>
        <w:rFonts w:ascii="Symbol" w:hAnsi="Symbol" w:hint="default"/>
      </w:rPr>
    </w:lvl>
  </w:abstractNum>
  <w:abstractNum w:abstractNumId="5" w15:restartNumberingAfterBreak="0">
    <w:nsid w:val="012E7B6E"/>
    <w:multiLevelType w:val="hybridMultilevel"/>
    <w:tmpl w:val="D962342C"/>
    <w:lvl w:ilvl="0" w:tplc="F3F491F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E6F9B"/>
    <w:multiLevelType w:val="hybridMultilevel"/>
    <w:tmpl w:val="BF828366"/>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7" w15:restartNumberingAfterBreak="0">
    <w:nsid w:val="0BE62DFA"/>
    <w:multiLevelType w:val="hybridMultilevel"/>
    <w:tmpl w:val="12ACAA1E"/>
    <w:lvl w:ilvl="0" w:tplc="F3F491FA">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CD45B1D"/>
    <w:multiLevelType w:val="hybridMultilevel"/>
    <w:tmpl w:val="DCB8F778"/>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D2F63"/>
    <w:multiLevelType w:val="hybridMultilevel"/>
    <w:tmpl w:val="65B09B56"/>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0" w15:restartNumberingAfterBreak="0">
    <w:nsid w:val="14F64A23"/>
    <w:multiLevelType w:val="hybridMultilevel"/>
    <w:tmpl w:val="70F8647E"/>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16EEE"/>
    <w:multiLevelType w:val="hybridMultilevel"/>
    <w:tmpl w:val="A8D0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E8C14A6"/>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14" w15:restartNumberingAfterBreak="0">
    <w:nsid w:val="22E44180"/>
    <w:multiLevelType w:val="multilevel"/>
    <w:tmpl w:val="5C76AF26"/>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D62C9B"/>
    <w:multiLevelType w:val="hybridMultilevel"/>
    <w:tmpl w:val="5A04DE60"/>
    <w:lvl w:ilvl="0" w:tplc="080C001B">
      <w:start w:val="1"/>
      <w:numFmt w:val="lowerRoman"/>
      <w:lvlText w:val="%1."/>
      <w:lvlJc w:val="right"/>
      <w:pPr>
        <w:ind w:left="720" w:hanging="360"/>
      </w:p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EEE1962"/>
    <w:multiLevelType w:val="multilevel"/>
    <w:tmpl w:val="5BEA968C"/>
    <w:lvl w:ilvl="0">
      <w:start w:val="1"/>
      <w:numFmt w:val="decimal"/>
      <w:pStyle w:val="SectionStyle"/>
      <w:lvlText w:val="%1."/>
      <w:lvlJc w:val="left"/>
      <w:pPr>
        <w:tabs>
          <w:tab w:val="num" w:pos="1437"/>
        </w:tabs>
        <w:ind w:left="1437" w:hanging="360"/>
      </w:pPr>
      <w:rPr>
        <w:rFonts w:hint="default"/>
      </w:rPr>
    </w:lvl>
    <w:lvl w:ilvl="1">
      <w:start w:val="1"/>
      <w:numFmt w:val="decimal"/>
      <w:pStyle w:val="QuestionStyle"/>
      <w:lvlText w:val="%1.%2."/>
      <w:lvlJc w:val="left"/>
      <w:pPr>
        <w:tabs>
          <w:tab w:val="num" w:pos="2214"/>
        </w:tabs>
        <w:ind w:left="2214" w:hanging="777"/>
      </w:pPr>
      <w:rPr>
        <w:rFonts w:hint="default"/>
      </w:rPr>
    </w:lvl>
    <w:lvl w:ilvl="2">
      <w:start w:val="1"/>
      <w:numFmt w:val="decimal"/>
      <w:pStyle w:val="QuestionStyleIndent"/>
      <w:lvlText w:val="%1.%2.%3."/>
      <w:lvlJc w:val="left"/>
      <w:pPr>
        <w:tabs>
          <w:tab w:val="num" w:pos="2517"/>
        </w:tabs>
        <w:ind w:left="2301" w:hanging="504"/>
      </w:pPr>
      <w:rPr>
        <w:rFonts w:hint="default"/>
      </w:rPr>
    </w:lvl>
    <w:lvl w:ilvl="3">
      <w:start w:val="1"/>
      <w:numFmt w:val="decimal"/>
      <w:lvlText w:val="%1.%2.%3.%4."/>
      <w:lvlJc w:val="left"/>
      <w:pPr>
        <w:tabs>
          <w:tab w:val="num" w:pos="3237"/>
        </w:tabs>
        <w:ind w:left="2805" w:hanging="648"/>
      </w:pPr>
      <w:rPr>
        <w:rFonts w:hint="default"/>
      </w:rPr>
    </w:lvl>
    <w:lvl w:ilvl="4">
      <w:start w:val="1"/>
      <w:numFmt w:val="decimal"/>
      <w:lvlText w:val="%1.%2.%3.%4.%5."/>
      <w:lvlJc w:val="left"/>
      <w:pPr>
        <w:tabs>
          <w:tab w:val="num" w:pos="3597"/>
        </w:tabs>
        <w:ind w:left="3309" w:hanging="792"/>
      </w:pPr>
      <w:rPr>
        <w:rFonts w:hint="default"/>
      </w:rPr>
    </w:lvl>
    <w:lvl w:ilvl="5">
      <w:start w:val="1"/>
      <w:numFmt w:val="decimal"/>
      <w:lvlText w:val="%1.%2.%3.%4.%5.%6."/>
      <w:lvlJc w:val="left"/>
      <w:pPr>
        <w:tabs>
          <w:tab w:val="num" w:pos="4317"/>
        </w:tabs>
        <w:ind w:left="3813" w:hanging="936"/>
      </w:pPr>
      <w:rPr>
        <w:rFonts w:hint="default"/>
      </w:rPr>
    </w:lvl>
    <w:lvl w:ilvl="6">
      <w:start w:val="1"/>
      <w:numFmt w:val="decimal"/>
      <w:lvlText w:val="%1.%2.%3.%4.%5.%6.%7."/>
      <w:lvlJc w:val="left"/>
      <w:pPr>
        <w:tabs>
          <w:tab w:val="num" w:pos="4677"/>
        </w:tabs>
        <w:ind w:left="4317" w:hanging="1080"/>
      </w:pPr>
      <w:rPr>
        <w:rFonts w:hint="default"/>
      </w:rPr>
    </w:lvl>
    <w:lvl w:ilvl="7">
      <w:start w:val="1"/>
      <w:numFmt w:val="decimal"/>
      <w:lvlText w:val="%1.%2.%3.%4.%5.%6.%7.%8."/>
      <w:lvlJc w:val="left"/>
      <w:pPr>
        <w:tabs>
          <w:tab w:val="num" w:pos="5397"/>
        </w:tabs>
        <w:ind w:left="4821" w:hanging="1224"/>
      </w:pPr>
      <w:rPr>
        <w:rFonts w:hint="default"/>
      </w:rPr>
    </w:lvl>
    <w:lvl w:ilvl="8">
      <w:start w:val="1"/>
      <w:numFmt w:val="decimal"/>
      <w:lvlText w:val="%1.%2.%3.%4.%5.%6.%7.%8.%9."/>
      <w:lvlJc w:val="left"/>
      <w:pPr>
        <w:tabs>
          <w:tab w:val="num" w:pos="5757"/>
        </w:tabs>
        <w:ind w:left="5397" w:hanging="1440"/>
      </w:pPr>
      <w:rPr>
        <w:rFonts w:hint="default"/>
      </w:rPr>
    </w:lvl>
  </w:abstractNum>
  <w:abstractNum w:abstractNumId="19" w15:restartNumberingAfterBreak="0">
    <w:nsid w:val="379C2377"/>
    <w:multiLevelType w:val="hybridMultilevel"/>
    <w:tmpl w:val="B498DBC2"/>
    <w:lvl w:ilvl="0" w:tplc="BB6C9FA2">
      <w:numFmt w:val="bullet"/>
      <w:lvlText w:val="-"/>
      <w:lvlJc w:val="left"/>
      <w:pPr>
        <w:ind w:left="339" w:hanging="360"/>
      </w:pPr>
      <w:rPr>
        <w:rFonts w:ascii="Arial" w:eastAsiaTheme="minorHAnsi" w:hAnsi="Arial" w:cs="Arial" w:hint="default"/>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20" w15:restartNumberingAfterBreak="0">
    <w:nsid w:val="40AB2602"/>
    <w:multiLevelType w:val="hybridMultilevel"/>
    <w:tmpl w:val="99A0FD96"/>
    <w:lvl w:ilvl="0" w:tplc="080C0015">
      <w:start w:val="1"/>
      <w:numFmt w:val="upperLetter"/>
      <w:lvlText w:val="%1."/>
      <w:lvlJc w:val="left"/>
      <w:pPr>
        <w:ind w:left="720" w:hanging="360"/>
      </w:pPr>
    </w:lvl>
    <w:lvl w:ilvl="1" w:tplc="080C0015">
      <w:start w:val="1"/>
      <w:numFmt w:val="upp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3"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46585C4F"/>
    <w:multiLevelType w:val="multilevel"/>
    <w:tmpl w:val="080C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25" w15:restartNumberingAfterBreak="0">
    <w:nsid w:val="52C763AF"/>
    <w:multiLevelType w:val="hybridMultilevel"/>
    <w:tmpl w:val="DE3A0952"/>
    <w:lvl w:ilvl="0" w:tplc="487407F8">
      <w:start w:val="6"/>
      <w:numFmt w:val="bullet"/>
      <w:lvlText w:val="-"/>
      <w:lvlJc w:val="left"/>
      <w:pPr>
        <w:ind w:left="774" w:hanging="360"/>
      </w:pPr>
      <w:rPr>
        <w:rFonts w:ascii="Calibri" w:eastAsiaTheme="minorHAnsi" w:hAnsi="Calibri" w:cs="Calibri" w:hint="default"/>
        <w:b w:val="0"/>
        <w:i/>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5DED10EB"/>
    <w:multiLevelType w:val="hybridMultilevel"/>
    <w:tmpl w:val="8DD4AB42"/>
    <w:lvl w:ilvl="0" w:tplc="487407F8">
      <w:start w:val="6"/>
      <w:numFmt w:val="bullet"/>
      <w:lvlText w:val="-"/>
      <w:lvlJc w:val="left"/>
      <w:pPr>
        <w:ind w:left="882" w:hanging="360"/>
      </w:pPr>
      <w:rPr>
        <w:rFonts w:ascii="Calibri" w:eastAsiaTheme="minorHAnsi" w:hAnsi="Calibri" w:cs="Calibri" w:hint="default"/>
        <w:b w:val="0"/>
        <w:i/>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3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2" w15:restartNumberingAfterBreak="0">
    <w:nsid w:val="629535FA"/>
    <w:multiLevelType w:val="hybridMultilevel"/>
    <w:tmpl w:val="E93089AE"/>
    <w:lvl w:ilvl="0" w:tplc="487407F8">
      <w:start w:val="6"/>
      <w:numFmt w:val="bullet"/>
      <w:lvlText w:val="-"/>
      <w:lvlJc w:val="left"/>
      <w:pPr>
        <w:ind w:left="339" w:hanging="360"/>
      </w:pPr>
      <w:rPr>
        <w:rFonts w:ascii="Calibri" w:eastAsiaTheme="minorHAnsi" w:hAnsi="Calibri" w:cs="Calibri" w:hint="default"/>
        <w:b w:val="0"/>
        <w:i/>
      </w:rPr>
    </w:lvl>
    <w:lvl w:ilvl="1" w:tplc="080C0003" w:tentative="1">
      <w:start w:val="1"/>
      <w:numFmt w:val="bullet"/>
      <w:lvlText w:val="o"/>
      <w:lvlJc w:val="left"/>
      <w:pPr>
        <w:ind w:left="1059" w:hanging="360"/>
      </w:pPr>
      <w:rPr>
        <w:rFonts w:ascii="Courier New" w:hAnsi="Courier New" w:cs="Courier New" w:hint="default"/>
      </w:rPr>
    </w:lvl>
    <w:lvl w:ilvl="2" w:tplc="080C0005" w:tentative="1">
      <w:start w:val="1"/>
      <w:numFmt w:val="bullet"/>
      <w:lvlText w:val=""/>
      <w:lvlJc w:val="left"/>
      <w:pPr>
        <w:ind w:left="1779" w:hanging="360"/>
      </w:pPr>
      <w:rPr>
        <w:rFonts w:ascii="Wingdings" w:hAnsi="Wingdings" w:hint="default"/>
      </w:rPr>
    </w:lvl>
    <w:lvl w:ilvl="3" w:tplc="080C0001" w:tentative="1">
      <w:start w:val="1"/>
      <w:numFmt w:val="bullet"/>
      <w:lvlText w:val=""/>
      <w:lvlJc w:val="left"/>
      <w:pPr>
        <w:ind w:left="2499" w:hanging="360"/>
      </w:pPr>
      <w:rPr>
        <w:rFonts w:ascii="Symbol" w:hAnsi="Symbol" w:hint="default"/>
      </w:rPr>
    </w:lvl>
    <w:lvl w:ilvl="4" w:tplc="080C0003" w:tentative="1">
      <w:start w:val="1"/>
      <w:numFmt w:val="bullet"/>
      <w:lvlText w:val="o"/>
      <w:lvlJc w:val="left"/>
      <w:pPr>
        <w:ind w:left="3219" w:hanging="360"/>
      </w:pPr>
      <w:rPr>
        <w:rFonts w:ascii="Courier New" w:hAnsi="Courier New" w:cs="Courier New" w:hint="default"/>
      </w:rPr>
    </w:lvl>
    <w:lvl w:ilvl="5" w:tplc="080C0005" w:tentative="1">
      <w:start w:val="1"/>
      <w:numFmt w:val="bullet"/>
      <w:lvlText w:val=""/>
      <w:lvlJc w:val="left"/>
      <w:pPr>
        <w:ind w:left="3939" w:hanging="360"/>
      </w:pPr>
      <w:rPr>
        <w:rFonts w:ascii="Wingdings" w:hAnsi="Wingdings" w:hint="default"/>
      </w:rPr>
    </w:lvl>
    <w:lvl w:ilvl="6" w:tplc="080C0001" w:tentative="1">
      <w:start w:val="1"/>
      <w:numFmt w:val="bullet"/>
      <w:lvlText w:val=""/>
      <w:lvlJc w:val="left"/>
      <w:pPr>
        <w:ind w:left="4659" w:hanging="360"/>
      </w:pPr>
      <w:rPr>
        <w:rFonts w:ascii="Symbol" w:hAnsi="Symbol" w:hint="default"/>
      </w:rPr>
    </w:lvl>
    <w:lvl w:ilvl="7" w:tplc="080C0003" w:tentative="1">
      <w:start w:val="1"/>
      <w:numFmt w:val="bullet"/>
      <w:lvlText w:val="o"/>
      <w:lvlJc w:val="left"/>
      <w:pPr>
        <w:ind w:left="5379" w:hanging="360"/>
      </w:pPr>
      <w:rPr>
        <w:rFonts w:ascii="Courier New" w:hAnsi="Courier New" w:cs="Courier New" w:hint="default"/>
      </w:rPr>
    </w:lvl>
    <w:lvl w:ilvl="8" w:tplc="080C0005" w:tentative="1">
      <w:start w:val="1"/>
      <w:numFmt w:val="bullet"/>
      <w:lvlText w:val=""/>
      <w:lvlJc w:val="left"/>
      <w:pPr>
        <w:ind w:left="6099" w:hanging="360"/>
      </w:pPr>
      <w:rPr>
        <w:rFonts w:ascii="Wingdings" w:hAnsi="Wingdings" w:hint="default"/>
      </w:rPr>
    </w:lvl>
  </w:abstractNum>
  <w:abstractNum w:abstractNumId="33" w15:restartNumberingAfterBreak="0">
    <w:nsid w:val="6389409C"/>
    <w:multiLevelType w:val="hybridMultilevel"/>
    <w:tmpl w:val="A96ACE60"/>
    <w:lvl w:ilvl="0" w:tplc="C466058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4A12FA4"/>
    <w:multiLevelType w:val="multilevel"/>
    <w:tmpl w:val="5B623688"/>
    <w:lvl w:ilvl="0">
      <w:start w:val="1"/>
      <w:numFmt w:val="decimal"/>
      <w:lvlRestart w:val="0"/>
      <w:pStyle w:val="Titolo1"/>
      <w:lvlText w:val="%1."/>
      <w:lvlJc w:val="left"/>
      <w:pPr>
        <w:tabs>
          <w:tab w:val="num" w:pos="850"/>
        </w:tabs>
        <w:ind w:left="851" w:hanging="851"/>
      </w:pPr>
      <w:rPr>
        <w:rFonts w:hint="default"/>
      </w:rPr>
    </w:lvl>
    <w:lvl w:ilvl="1">
      <w:start w:val="1"/>
      <w:numFmt w:val="decimal"/>
      <w:pStyle w:val="Titolo2"/>
      <w:lvlText w:val="%1.%2."/>
      <w:lvlJc w:val="left"/>
      <w:pPr>
        <w:tabs>
          <w:tab w:val="num" w:pos="850"/>
        </w:tabs>
        <w:ind w:left="851" w:hanging="851"/>
      </w:pPr>
      <w:rPr>
        <w:rFonts w:hint="default"/>
      </w:rPr>
    </w:lvl>
    <w:lvl w:ilvl="2">
      <w:start w:val="1"/>
      <w:numFmt w:val="decimal"/>
      <w:pStyle w:val="Titolo3"/>
      <w:lvlText w:val="%1.%2.%3."/>
      <w:lvlJc w:val="left"/>
      <w:pPr>
        <w:tabs>
          <w:tab w:val="num" w:pos="1418"/>
        </w:tabs>
        <w:ind w:left="1419" w:hanging="851"/>
      </w:pPr>
      <w:rPr>
        <w:rFonts w:hint="default"/>
      </w:rPr>
    </w:lvl>
    <w:lvl w:ilvl="3">
      <w:start w:val="1"/>
      <w:numFmt w:val="decimal"/>
      <w:pStyle w:val="Titolo4"/>
      <w:lvlText w:val="%1.%2.%3.%4."/>
      <w:lvlJc w:val="left"/>
      <w:pPr>
        <w:tabs>
          <w:tab w:val="num" w:pos="850"/>
        </w:tabs>
        <w:ind w:left="851" w:hanging="851"/>
      </w:pPr>
      <w:rPr>
        <w:rFonts w:hint="default"/>
      </w:rPr>
    </w:lvl>
    <w:lvl w:ilvl="4">
      <w:start w:val="1"/>
      <w:numFmt w:val="lowerLetter"/>
      <w:lvlText w:val="(%5)"/>
      <w:lvlJc w:val="left"/>
      <w:pPr>
        <w:tabs>
          <w:tab w:val="num" w:pos="850"/>
        </w:tabs>
        <w:ind w:left="851" w:hanging="851"/>
      </w:pPr>
      <w:rPr>
        <w:rFonts w:hint="default"/>
      </w:rPr>
    </w:lvl>
    <w:lvl w:ilvl="5">
      <w:start w:val="1"/>
      <w:numFmt w:val="lowerRoman"/>
      <w:lvlText w:val="(%6)"/>
      <w:lvlJc w:val="left"/>
      <w:pPr>
        <w:tabs>
          <w:tab w:val="num" w:pos="850"/>
        </w:tabs>
        <w:ind w:left="851" w:hanging="851"/>
      </w:pPr>
      <w:rPr>
        <w:rFonts w:hint="default"/>
      </w:rPr>
    </w:lvl>
    <w:lvl w:ilvl="6">
      <w:start w:val="1"/>
      <w:numFmt w:val="decimal"/>
      <w:lvlText w:val="%7."/>
      <w:lvlJc w:val="left"/>
      <w:pPr>
        <w:tabs>
          <w:tab w:val="num" w:pos="850"/>
        </w:tabs>
        <w:ind w:left="851" w:hanging="851"/>
      </w:pPr>
      <w:rPr>
        <w:rFonts w:hint="default"/>
      </w:rPr>
    </w:lvl>
    <w:lvl w:ilvl="7">
      <w:start w:val="1"/>
      <w:numFmt w:val="lowerLetter"/>
      <w:lvlText w:val="%8."/>
      <w:lvlJc w:val="left"/>
      <w:pPr>
        <w:tabs>
          <w:tab w:val="num" w:pos="850"/>
        </w:tabs>
        <w:ind w:left="851" w:hanging="851"/>
      </w:pPr>
      <w:rPr>
        <w:rFonts w:hint="default"/>
      </w:rPr>
    </w:lvl>
    <w:lvl w:ilvl="8">
      <w:start w:val="1"/>
      <w:numFmt w:val="lowerRoman"/>
      <w:lvlText w:val="%9."/>
      <w:lvlJc w:val="left"/>
      <w:pPr>
        <w:tabs>
          <w:tab w:val="num" w:pos="850"/>
        </w:tabs>
        <w:ind w:left="851" w:hanging="851"/>
      </w:pPr>
      <w:rPr>
        <w:rFonts w:hint="default"/>
      </w:rPr>
    </w:lvl>
  </w:abstractNum>
  <w:abstractNum w:abstractNumId="35" w15:restartNumberingAfterBreak="0">
    <w:nsid w:val="64E863DE"/>
    <w:multiLevelType w:val="hybridMultilevel"/>
    <w:tmpl w:val="B9CEA3DA"/>
    <w:lvl w:ilvl="0" w:tplc="487407F8">
      <w:start w:val="6"/>
      <w:numFmt w:val="bullet"/>
      <w:lvlText w:val="-"/>
      <w:lvlJc w:val="left"/>
      <w:pPr>
        <w:ind w:left="720" w:hanging="360"/>
      </w:pPr>
      <w:rPr>
        <w:rFonts w:ascii="Calibri" w:eastAsiaTheme="minorHAnsi" w:hAnsi="Calibri" w:cs="Calibri" w:hint="default"/>
        <w:b w:val="0"/>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866643A"/>
    <w:multiLevelType w:val="hybridMultilevel"/>
    <w:tmpl w:val="758E3C78"/>
    <w:lvl w:ilvl="0" w:tplc="7FB253F0">
      <w:start w:val="3"/>
      <w:numFmt w:val="bullet"/>
      <w:lvlText w:val="-"/>
      <w:lvlJc w:val="left"/>
      <w:pPr>
        <w:ind w:left="1080" w:hanging="360"/>
      </w:pPr>
      <w:rPr>
        <w:rFonts w:ascii="Times New Roman" w:eastAsiaTheme="minorHAnsi"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9" w15:restartNumberingAfterBreak="0">
    <w:nsid w:val="7D3C3FE7"/>
    <w:multiLevelType w:val="multilevel"/>
    <w:tmpl w:val="68BEB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1"/>
  </w:num>
  <w:num w:numId="2">
    <w:abstractNumId w:val="18"/>
  </w:num>
  <w:num w:numId="3">
    <w:abstractNumId w:val="4"/>
  </w:num>
  <w:num w:numId="4">
    <w:abstractNumId w:val="3"/>
  </w:num>
  <w:num w:numId="5">
    <w:abstractNumId w:val="2"/>
  </w:num>
  <w:num w:numId="6">
    <w:abstractNumId w:val="1"/>
  </w:num>
  <w:num w:numId="7">
    <w:abstractNumId w:val="0"/>
  </w:num>
  <w:num w:numId="8">
    <w:abstractNumId w:val="27"/>
    <w:lvlOverride w:ilvl="0">
      <w:startOverride w:val="1"/>
    </w:lvlOverride>
  </w:num>
  <w:num w:numId="9">
    <w:abstractNumId w:val="29"/>
  </w:num>
  <w:num w:numId="10">
    <w:abstractNumId w:val="21"/>
  </w:num>
  <w:num w:numId="11">
    <w:abstractNumId w:val="36"/>
  </w:num>
  <w:num w:numId="12">
    <w:abstractNumId w:val="17"/>
  </w:num>
  <w:num w:numId="13">
    <w:abstractNumId w:val="22"/>
  </w:num>
  <w:num w:numId="14">
    <w:abstractNumId w:val="14"/>
  </w:num>
  <w:num w:numId="15">
    <w:abstractNumId w:val="34"/>
  </w:num>
  <w:num w:numId="16">
    <w:abstractNumId w:val="12"/>
  </w:num>
  <w:num w:numId="17">
    <w:abstractNumId w:val="23"/>
  </w:num>
  <w:num w:numId="18">
    <w:abstractNumId w:val="28"/>
  </w:num>
  <w:num w:numId="19">
    <w:abstractNumId w:val="16"/>
  </w:num>
  <w:num w:numId="20">
    <w:abstractNumId w:val="26"/>
  </w:num>
  <w:num w:numId="21">
    <w:abstractNumId w:val="38"/>
  </w:num>
  <w:num w:numId="22">
    <w:abstractNumId w:val="11"/>
  </w:num>
  <w:num w:numId="23">
    <w:abstractNumId w:val="20"/>
  </w:num>
  <w:num w:numId="24">
    <w:abstractNumId w:val="37"/>
  </w:num>
  <w:num w:numId="25">
    <w:abstractNumId w:val="24"/>
  </w:num>
  <w:num w:numId="26">
    <w:abstractNumId w:val="9"/>
  </w:num>
  <w:num w:numId="27">
    <w:abstractNumId w:val="5"/>
  </w:num>
  <w:num w:numId="28">
    <w:abstractNumId w:val="7"/>
  </w:num>
  <w:num w:numId="29">
    <w:abstractNumId w:val="13"/>
  </w:num>
  <w:num w:numId="30">
    <w:abstractNumId w:val="32"/>
  </w:num>
  <w:num w:numId="31">
    <w:abstractNumId w:val="25"/>
  </w:num>
  <w:num w:numId="32">
    <w:abstractNumId w:val="8"/>
  </w:num>
  <w:num w:numId="33">
    <w:abstractNumId w:val="35"/>
  </w:num>
  <w:num w:numId="34">
    <w:abstractNumId w:val="30"/>
  </w:num>
  <w:num w:numId="35">
    <w:abstractNumId w:val="10"/>
  </w:num>
  <w:num w:numId="36">
    <w:abstractNumId w:val="6"/>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5"/>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E704B2"/>
    <w:rsid w:val="00000676"/>
    <w:rsid w:val="00002214"/>
    <w:rsid w:val="00003FD5"/>
    <w:rsid w:val="00005805"/>
    <w:rsid w:val="00012F24"/>
    <w:rsid w:val="000229CF"/>
    <w:rsid w:val="00025537"/>
    <w:rsid w:val="00031149"/>
    <w:rsid w:val="00036882"/>
    <w:rsid w:val="0003746E"/>
    <w:rsid w:val="00042788"/>
    <w:rsid w:val="000446A5"/>
    <w:rsid w:val="000507CB"/>
    <w:rsid w:val="00050CDD"/>
    <w:rsid w:val="000533F8"/>
    <w:rsid w:val="000706E0"/>
    <w:rsid w:val="00070D7F"/>
    <w:rsid w:val="0007394F"/>
    <w:rsid w:val="00077F86"/>
    <w:rsid w:val="00080200"/>
    <w:rsid w:val="000805FE"/>
    <w:rsid w:val="0008082A"/>
    <w:rsid w:val="00083E47"/>
    <w:rsid w:val="0008615B"/>
    <w:rsid w:val="000A11F4"/>
    <w:rsid w:val="000A46C0"/>
    <w:rsid w:val="000A6274"/>
    <w:rsid w:val="000B03F9"/>
    <w:rsid w:val="000B74F8"/>
    <w:rsid w:val="000C3D1B"/>
    <w:rsid w:val="000C4736"/>
    <w:rsid w:val="000C4935"/>
    <w:rsid w:val="000C4D2E"/>
    <w:rsid w:val="000C6541"/>
    <w:rsid w:val="000C6E2F"/>
    <w:rsid w:val="000D0C45"/>
    <w:rsid w:val="000D5918"/>
    <w:rsid w:val="000D7C28"/>
    <w:rsid w:val="000D7E74"/>
    <w:rsid w:val="000E1C42"/>
    <w:rsid w:val="000E2FF2"/>
    <w:rsid w:val="000E46AC"/>
    <w:rsid w:val="000E6FA8"/>
    <w:rsid w:val="000F160E"/>
    <w:rsid w:val="000F7A0C"/>
    <w:rsid w:val="00100653"/>
    <w:rsid w:val="00101547"/>
    <w:rsid w:val="0010648D"/>
    <w:rsid w:val="00113349"/>
    <w:rsid w:val="00114B96"/>
    <w:rsid w:val="0011538D"/>
    <w:rsid w:val="00120E89"/>
    <w:rsid w:val="00123574"/>
    <w:rsid w:val="001271AB"/>
    <w:rsid w:val="00142283"/>
    <w:rsid w:val="001462BD"/>
    <w:rsid w:val="0015033B"/>
    <w:rsid w:val="0015153C"/>
    <w:rsid w:val="00153A02"/>
    <w:rsid w:val="00154F92"/>
    <w:rsid w:val="00155BDD"/>
    <w:rsid w:val="00162518"/>
    <w:rsid w:val="00165D10"/>
    <w:rsid w:val="00174D77"/>
    <w:rsid w:val="00175BBC"/>
    <w:rsid w:val="00175CEB"/>
    <w:rsid w:val="00175F9F"/>
    <w:rsid w:val="001779C6"/>
    <w:rsid w:val="001817D2"/>
    <w:rsid w:val="00181AAB"/>
    <w:rsid w:val="00182456"/>
    <w:rsid w:val="00182949"/>
    <w:rsid w:val="00182CEB"/>
    <w:rsid w:val="00184F06"/>
    <w:rsid w:val="00185416"/>
    <w:rsid w:val="00196FD9"/>
    <w:rsid w:val="001A578F"/>
    <w:rsid w:val="001A7876"/>
    <w:rsid w:val="001C01BA"/>
    <w:rsid w:val="001C0B9A"/>
    <w:rsid w:val="001C2A47"/>
    <w:rsid w:val="001D0592"/>
    <w:rsid w:val="001D663E"/>
    <w:rsid w:val="001D7FB7"/>
    <w:rsid w:val="001E23A9"/>
    <w:rsid w:val="001E5D7E"/>
    <w:rsid w:val="001E7AF9"/>
    <w:rsid w:val="001E7DC1"/>
    <w:rsid w:val="001F3CEB"/>
    <w:rsid w:val="001F6509"/>
    <w:rsid w:val="001F66AA"/>
    <w:rsid w:val="001F697A"/>
    <w:rsid w:val="00205B31"/>
    <w:rsid w:val="00207592"/>
    <w:rsid w:val="00210AE8"/>
    <w:rsid w:val="002123CF"/>
    <w:rsid w:val="00220B50"/>
    <w:rsid w:val="0022192C"/>
    <w:rsid w:val="00226A3E"/>
    <w:rsid w:val="002326C2"/>
    <w:rsid w:val="00235B11"/>
    <w:rsid w:val="00241960"/>
    <w:rsid w:val="002424C2"/>
    <w:rsid w:val="0024333F"/>
    <w:rsid w:val="00245847"/>
    <w:rsid w:val="00247651"/>
    <w:rsid w:val="00252916"/>
    <w:rsid w:val="00256B84"/>
    <w:rsid w:val="00261AAD"/>
    <w:rsid w:val="00261D6B"/>
    <w:rsid w:val="00265CF8"/>
    <w:rsid w:val="0026695F"/>
    <w:rsid w:val="0027025D"/>
    <w:rsid w:val="0027292E"/>
    <w:rsid w:val="00274DFA"/>
    <w:rsid w:val="002758BA"/>
    <w:rsid w:val="002833EE"/>
    <w:rsid w:val="00287933"/>
    <w:rsid w:val="00290350"/>
    <w:rsid w:val="0029063F"/>
    <w:rsid w:val="00290B96"/>
    <w:rsid w:val="00291322"/>
    <w:rsid w:val="00292BEC"/>
    <w:rsid w:val="002939F4"/>
    <w:rsid w:val="00294AC1"/>
    <w:rsid w:val="002A2D37"/>
    <w:rsid w:val="002A3C6E"/>
    <w:rsid w:val="002B27C0"/>
    <w:rsid w:val="002B28DE"/>
    <w:rsid w:val="002B357F"/>
    <w:rsid w:val="002B6EF3"/>
    <w:rsid w:val="002C100A"/>
    <w:rsid w:val="002C143A"/>
    <w:rsid w:val="002C5D30"/>
    <w:rsid w:val="002C68FB"/>
    <w:rsid w:val="002D6A03"/>
    <w:rsid w:val="002D744D"/>
    <w:rsid w:val="002E1E42"/>
    <w:rsid w:val="002E24A6"/>
    <w:rsid w:val="002E373F"/>
    <w:rsid w:val="002F2149"/>
    <w:rsid w:val="002F334E"/>
    <w:rsid w:val="002F461D"/>
    <w:rsid w:val="002F4EA6"/>
    <w:rsid w:val="002F62BE"/>
    <w:rsid w:val="00302BF8"/>
    <w:rsid w:val="0031672D"/>
    <w:rsid w:val="00320680"/>
    <w:rsid w:val="00320C28"/>
    <w:rsid w:val="00323154"/>
    <w:rsid w:val="0032646E"/>
    <w:rsid w:val="00332684"/>
    <w:rsid w:val="00332B59"/>
    <w:rsid w:val="003454DD"/>
    <w:rsid w:val="0034659A"/>
    <w:rsid w:val="00346AAF"/>
    <w:rsid w:val="00346C6B"/>
    <w:rsid w:val="003500EB"/>
    <w:rsid w:val="00350937"/>
    <w:rsid w:val="00350C75"/>
    <w:rsid w:val="00352969"/>
    <w:rsid w:val="003556BF"/>
    <w:rsid w:val="00355745"/>
    <w:rsid w:val="003605E2"/>
    <w:rsid w:val="003710DA"/>
    <w:rsid w:val="00371FF2"/>
    <w:rsid w:val="00385604"/>
    <w:rsid w:val="0039141B"/>
    <w:rsid w:val="00393944"/>
    <w:rsid w:val="0039403B"/>
    <w:rsid w:val="003975A6"/>
    <w:rsid w:val="003A0582"/>
    <w:rsid w:val="003A3683"/>
    <w:rsid w:val="003A78F6"/>
    <w:rsid w:val="003B1478"/>
    <w:rsid w:val="003B397F"/>
    <w:rsid w:val="003B44AA"/>
    <w:rsid w:val="003C070F"/>
    <w:rsid w:val="003C0994"/>
    <w:rsid w:val="003C22C1"/>
    <w:rsid w:val="003C48C7"/>
    <w:rsid w:val="003D3BBF"/>
    <w:rsid w:val="003D4643"/>
    <w:rsid w:val="003D54FA"/>
    <w:rsid w:val="003D5A88"/>
    <w:rsid w:val="003E09B4"/>
    <w:rsid w:val="003E4486"/>
    <w:rsid w:val="003E6373"/>
    <w:rsid w:val="00402CF6"/>
    <w:rsid w:val="004068A2"/>
    <w:rsid w:val="004127A6"/>
    <w:rsid w:val="004147A1"/>
    <w:rsid w:val="004166B5"/>
    <w:rsid w:val="00416A43"/>
    <w:rsid w:val="00432B0D"/>
    <w:rsid w:val="004333C4"/>
    <w:rsid w:val="004357DA"/>
    <w:rsid w:val="004367C7"/>
    <w:rsid w:val="0043692E"/>
    <w:rsid w:val="00443DC2"/>
    <w:rsid w:val="004451A4"/>
    <w:rsid w:val="00446B11"/>
    <w:rsid w:val="00450164"/>
    <w:rsid w:val="004615EF"/>
    <w:rsid w:val="00462CF5"/>
    <w:rsid w:val="00473C22"/>
    <w:rsid w:val="00475248"/>
    <w:rsid w:val="0048437B"/>
    <w:rsid w:val="00494910"/>
    <w:rsid w:val="00495465"/>
    <w:rsid w:val="004A4A44"/>
    <w:rsid w:val="004A5C9B"/>
    <w:rsid w:val="004A7253"/>
    <w:rsid w:val="004B30C1"/>
    <w:rsid w:val="004C4A69"/>
    <w:rsid w:val="004C7107"/>
    <w:rsid w:val="004D44F5"/>
    <w:rsid w:val="004D64B7"/>
    <w:rsid w:val="004F0BAF"/>
    <w:rsid w:val="004F0D6C"/>
    <w:rsid w:val="004F4DE1"/>
    <w:rsid w:val="004F7C8A"/>
    <w:rsid w:val="00501B8F"/>
    <w:rsid w:val="00506BF6"/>
    <w:rsid w:val="00510E71"/>
    <w:rsid w:val="00511FA8"/>
    <w:rsid w:val="005166B1"/>
    <w:rsid w:val="0052057D"/>
    <w:rsid w:val="00521443"/>
    <w:rsid w:val="00522C17"/>
    <w:rsid w:val="00522C67"/>
    <w:rsid w:val="0052363E"/>
    <w:rsid w:val="005320E2"/>
    <w:rsid w:val="0053409F"/>
    <w:rsid w:val="00534532"/>
    <w:rsid w:val="00537D69"/>
    <w:rsid w:val="00542D13"/>
    <w:rsid w:val="005431F5"/>
    <w:rsid w:val="00545499"/>
    <w:rsid w:val="00556F93"/>
    <w:rsid w:val="00560017"/>
    <w:rsid w:val="00572294"/>
    <w:rsid w:val="00572AAD"/>
    <w:rsid w:val="00574083"/>
    <w:rsid w:val="00581A5D"/>
    <w:rsid w:val="00584E77"/>
    <w:rsid w:val="00587509"/>
    <w:rsid w:val="005939CD"/>
    <w:rsid w:val="00594335"/>
    <w:rsid w:val="00596D79"/>
    <w:rsid w:val="005A00E2"/>
    <w:rsid w:val="005A16E2"/>
    <w:rsid w:val="005A3EC0"/>
    <w:rsid w:val="005A4408"/>
    <w:rsid w:val="005C1598"/>
    <w:rsid w:val="005C3131"/>
    <w:rsid w:val="005C70C2"/>
    <w:rsid w:val="005D251A"/>
    <w:rsid w:val="005D44C1"/>
    <w:rsid w:val="005E00E0"/>
    <w:rsid w:val="005E17EF"/>
    <w:rsid w:val="005F2493"/>
    <w:rsid w:val="005F476E"/>
    <w:rsid w:val="00602EF9"/>
    <w:rsid w:val="0060310D"/>
    <w:rsid w:val="00603C80"/>
    <w:rsid w:val="00605F33"/>
    <w:rsid w:val="00611361"/>
    <w:rsid w:val="006120AB"/>
    <w:rsid w:val="00612768"/>
    <w:rsid w:val="00615B7D"/>
    <w:rsid w:val="006174B8"/>
    <w:rsid w:val="00617D37"/>
    <w:rsid w:val="006208D4"/>
    <w:rsid w:val="00622175"/>
    <w:rsid w:val="00622919"/>
    <w:rsid w:val="00623F4A"/>
    <w:rsid w:val="00626380"/>
    <w:rsid w:val="0063260C"/>
    <w:rsid w:val="00632C7D"/>
    <w:rsid w:val="00633AC7"/>
    <w:rsid w:val="00634954"/>
    <w:rsid w:val="00643B3D"/>
    <w:rsid w:val="00644111"/>
    <w:rsid w:val="006454A8"/>
    <w:rsid w:val="00652167"/>
    <w:rsid w:val="00652D1F"/>
    <w:rsid w:val="0065381E"/>
    <w:rsid w:val="0065787F"/>
    <w:rsid w:val="006617B4"/>
    <w:rsid w:val="00664C17"/>
    <w:rsid w:val="006662FF"/>
    <w:rsid w:val="006679D5"/>
    <w:rsid w:val="00670D45"/>
    <w:rsid w:val="0067186E"/>
    <w:rsid w:val="00671EFA"/>
    <w:rsid w:val="00674DF7"/>
    <w:rsid w:val="0067685C"/>
    <w:rsid w:val="00682729"/>
    <w:rsid w:val="00683275"/>
    <w:rsid w:val="006841DB"/>
    <w:rsid w:val="00684F47"/>
    <w:rsid w:val="00685BA9"/>
    <w:rsid w:val="00685E71"/>
    <w:rsid w:val="00690E7C"/>
    <w:rsid w:val="00691437"/>
    <w:rsid w:val="006A0097"/>
    <w:rsid w:val="006A156C"/>
    <w:rsid w:val="006A77B4"/>
    <w:rsid w:val="006A7F28"/>
    <w:rsid w:val="006B4DEA"/>
    <w:rsid w:val="006B6F92"/>
    <w:rsid w:val="006C1B1C"/>
    <w:rsid w:val="006C5777"/>
    <w:rsid w:val="006C70B9"/>
    <w:rsid w:val="006C7BA1"/>
    <w:rsid w:val="006E2E61"/>
    <w:rsid w:val="006F18C2"/>
    <w:rsid w:val="006F27E9"/>
    <w:rsid w:val="006F7477"/>
    <w:rsid w:val="00701D38"/>
    <w:rsid w:val="007039A3"/>
    <w:rsid w:val="007059A5"/>
    <w:rsid w:val="007071F3"/>
    <w:rsid w:val="0071327B"/>
    <w:rsid w:val="00716633"/>
    <w:rsid w:val="00721F17"/>
    <w:rsid w:val="00722A6E"/>
    <w:rsid w:val="00725030"/>
    <w:rsid w:val="00727C33"/>
    <w:rsid w:val="00733315"/>
    <w:rsid w:val="00733744"/>
    <w:rsid w:val="007366D8"/>
    <w:rsid w:val="00737103"/>
    <w:rsid w:val="00741448"/>
    <w:rsid w:val="00743C16"/>
    <w:rsid w:val="00747366"/>
    <w:rsid w:val="0075045E"/>
    <w:rsid w:val="00751EFD"/>
    <w:rsid w:val="00752045"/>
    <w:rsid w:val="00754551"/>
    <w:rsid w:val="00773FDB"/>
    <w:rsid w:val="007759BC"/>
    <w:rsid w:val="00776B84"/>
    <w:rsid w:val="007835B0"/>
    <w:rsid w:val="007839C3"/>
    <w:rsid w:val="00793B6E"/>
    <w:rsid w:val="00793F1C"/>
    <w:rsid w:val="007A06CB"/>
    <w:rsid w:val="007A119F"/>
    <w:rsid w:val="007A12C1"/>
    <w:rsid w:val="007A2E37"/>
    <w:rsid w:val="007B2F6D"/>
    <w:rsid w:val="007B424F"/>
    <w:rsid w:val="007B5B8E"/>
    <w:rsid w:val="007B6E30"/>
    <w:rsid w:val="007E15F5"/>
    <w:rsid w:val="007F2079"/>
    <w:rsid w:val="007F28D8"/>
    <w:rsid w:val="007F5AA0"/>
    <w:rsid w:val="007F5BE0"/>
    <w:rsid w:val="007F60C3"/>
    <w:rsid w:val="00802E4F"/>
    <w:rsid w:val="00805158"/>
    <w:rsid w:val="0081099F"/>
    <w:rsid w:val="00825D3D"/>
    <w:rsid w:val="00826321"/>
    <w:rsid w:val="0082765F"/>
    <w:rsid w:val="00830802"/>
    <w:rsid w:val="00840163"/>
    <w:rsid w:val="00850746"/>
    <w:rsid w:val="00851899"/>
    <w:rsid w:val="0085204F"/>
    <w:rsid w:val="00857E93"/>
    <w:rsid w:val="008624B4"/>
    <w:rsid w:val="00874765"/>
    <w:rsid w:val="0087668E"/>
    <w:rsid w:val="0087798C"/>
    <w:rsid w:val="00880872"/>
    <w:rsid w:val="00885857"/>
    <w:rsid w:val="00886257"/>
    <w:rsid w:val="0088645A"/>
    <w:rsid w:val="008871F3"/>
    <w:rsid w:val="00890500"/>
    <w:rsid w:val="008A01C8"/>
    <w:rsid w:val="008A3FAC"/>
    <w:rsid w:val="008A4618"/>
    <w:rsid w:val="008A67D7"/>
    <w:rsid w:val="008B0842"/>
    <w:rsid w:val="008B3EE5"/>
    <w:rsid w:val="008B416F"/>
    <w:rsid w:val="008B53C7"/>
    <w:rsid w:val="008B716C"/>
    <w:rsid w:val="008C6FB5"/>
    <w:rsid w:val="008D75AB"/>
    <w:rsid w:val="008E5438"/>
    <w:rsid w:val="008E60C5"/>
    <w:rsid w:val="008F13A3"/>
    <w:rsid w:val="008F36FF"/>
    <w:rsid w:val="008F6700"/>
    <w:rsid w:val="00901CE5"/>
    <w:rsid w:val="009035B1"/>
    <w:rsid w:val="00904DA8"/>
    <w:rsid w:val="00910BD7"/>
    <w:rsid w:val="009131AF"/>
    <w:rsid w:val="009179C4"/>
    <w:rsid w:val="009200CA"/>
    <w:rsid w:val="00926AAD"/>
    <w:rsid w:val="0093133C"/>
    <w:rsid w:val="0093573A"/>
    <w:rsid w:val="009373C9"/>
    <w:rsid w:val="009379B3"/>
    <w:rsid w:val="0094047B"/>
    <w:rsid w:val="00940A14"/>
    <w:rsid w:val="00947E93"/>
    <w:rsid w:val="00953E4E"/>
    <w:rsid w:val="00961747"/>
    <w:rsid w:val="00967885"/>
    <w:rsid w:val="00971F31"/>
    <w:rsid w:val="00973A96"/>
    <w:rsid w:val="00975470"/>
    <w:rsid w:val="0098038F"/>
    <w:rsid w:val="00982315"/>
    <w:rsid w:val="00982F9A"/>
    <w:rsid w:val="009838DC"/>
    <w:rsid w:val="0098622C"/>
    <w:rsid w:val="00986FE7"/>
    <w:rsid w:val="00992B7B"/>
    <w:rsid w:val="00994803"/>
    <w:rsid w:val="0099620B"/>
    <w:rsid w:val="00996707"/>
    <w:rsid w:val="00997C64"/>
    <w:rsid w:val="009A33A6"/>
    <w:rsid w:val="009B365F"/>
    <w:rsid w:val="009B4976"/>
    <w:rsid w:val="009B6321"/>
    <w:rsid w:val="009B7A79"/>
    <w:rsid w:val="009C28FB"/>
    <w:rsid w:val="009C2CD3"/>
    <w:rsid w:val="009C459D"/>
    <w:rsid w:val="009D0B4D"/>
    <w:rsid w:val="009D2343"/>
    <w:rsid w:val="009D2A48"/>
    <w:rsid w:val="009E0721"/>
    <w:rsid w:val="009E0FA0"/>
    <w:rsid w:val="009E3AAE"/>
    <w:rsid w:val="009E4228"/>
    <w:rsid w:val="009E7F84"/>
    <w:rsid w:val="009F0C20"/>
    <w:rsid w:val="009F330D"/>
    <w:rsid w:val="009F3648"/>
    <w:rsid w:val="009F6172"/>
    <w:rsid w:val="009F6B00"/>
    <w:rsid w:val="009F7076"/>
    <w:rsid w:val="00A01071"/>
    <w:rsid w:val="00A0146C"/>
    <w:rsid w:val="00A04E9F"/>
    <w:rsid w:val="00A05B19"/>
    <w:rsid w:val="00A12B43"/>
    <w:rsid w:val="00A13AF0"/>
    <w:rsid w:val="00A145E0"/>
    <w:rsid w:val="00A15A01"/>
    <w:rsid w:val="00A26109"/>
    <w:rsid w:val="00A312AA"/>
    <w:rsid w:val="00A32432"/>
    <w:rsid w:val="00A34243"/>
    <w:rsid w:val="00A3741C"/>
    <w:rsid w:val="00A409C2"/>
    <w:rsid w:val="00A60243"/>
    <w:rsid w:val="00A62098"/>
    <w:rsid w:val="00A6343F"/>
    <w:rsid w:val="00A70EB9"/>
    <w:rsid w:val="00A7385B"/>
    <w:rsid w:val="00A77995"/>
    <w:rsid w:val="00A83225"/>
    <w:rsid w:val="00A842BB"/>
    <w:rsid w:val="00A857E7"/>
    <w:rsid w:val="00A90716"/>
    <w:rsid w:val="00A90747"/>
    <w:rsid w:val="00A92097"/>
    <w:rsid w:val="00A93F19"/>
    <w:rsid w:val="00A94FD3"/>
    <w:rsid w:val="00A95278"/>
    <w:rsid w:val="00A95E55"/>
    <w:rsid w:val="00A978B5"/>
    <w:rsid w:val="00AA0D01"/>
    <w:rsid w:val="00AA28EE"/>
    <w:rsid w:val="00AA7C2C"/>
    <w:rsid w:val="00AB281A"/>
    <w:rsid w:val="00AC3A32"/>
    <w:rsid w:val="00AC5C01"/>
    <w:rsid w:val="00AC7039"/>
    <w:rsid w:val="00AC7646"/>
    <w:rsid w:val="00AD0EA2"/>
    <w:rsid w:val="00AD1605"/>
    <w:rsid w:val="00AD26BA"/>
    <w:rsid w:val="00AD3853"/>
    <w:rsid w:val="00AD4C64"/>
    <w:rsid w:val="00AD4EDD"/>
    <w:rsid w:val="00AD79C0"/>
    <w:rsid w:val="00AE00E7"/>
    <w:rsid w:val="00AE560E"/>
    <w:rsid w:val="00AE6234"/>
    <w:rsid w:val="00AF5B6A"/>
    <w:rsid w:val="00AF7013"/>
    <w:rsid w:val="00AF7AA1"/>
    <w:rsid w:val="00B01B76"/>
    <w:rsid w:val="00B026E0"/>
    <w:rsid w:val="00B05BE8"/>
    <w:rsid w:val="00B14D5D"/>
    <w:rsid w:val="00B15316"/>
    <w:rsid w:val="00B20E6C"/>
    <w:rsid w:val="00B21EA7"/>
    <w:rsid w:val="00B22FCC"/>
    <w:rsid w:val="00B237FB"/>
    <w:rsid w:val="00B260EE"/>
    <w:rsid w:val="00B30778"/>
    <w:rsid w:val="00B312F5"/>
    <w:rsid w:val="00B31A97"/>
    <w:rsid w:val="00B33B13"/>
    <w:rsid w:val="00B348B6"/>
    <w:rsid w:val="00B40A54"/>
    <w:rsid w:val="00B41C7E"/>
    <w:rsid w:val="00B46B8A"/>
    <w:rsid w:val="00B52080"/>
    <w:rsid w:val="00B52EAD"/>
    <w:rsid w:val="00B54A66"/>
    <w:rsid w:val="00B552F2"/>
    <w:rsid w:val="00B55D61"/>
    <w:rsid w:val="00B56658"/>
    <w:rsid w:val="00B614B7"/>
    <w:rsid w:val="00B61C08"/>
    <w:rsid w:val="00B626D2"/>
    <w:rsid w:val="00B7045C"/>
    <w:rsid w:val="00B71A31"/>
    <w:rsid w:val="00B72DC4"/>
    <w:rsid w:val="00B739EC"/>
    <w:rsid w:val="00B7433F"/>
    <w:rsid w:val="00B74D9A"/>
    <w:rsid w:val="00B75D73"/>
    <w:rsid w:val="00B85CAC"/>
    <w:rsid w:val="00B91C84"/>
    <w:rsid w:val="00B94367"/>
    <w:rsid w:val="00B95763"/>
    <w:rsid w:val="00B96DC3"/>
    <w:rsid w:val="00B974C8"/>
    <w:rsid w:val="00BA0858"/>
    <w:rsid w:val="00BA1F04"/>
    <w:rsid w:val="00BA416A"/>
    <w:rsid w:val="00BA693A"/>
    <w:rsid w:val="00BB5CC8"/>
    <w:rsid w:val="00BB6BA4"/>
    <w:rsid w:val="00BC4464"/>
    <w:rsid w:val="00BC448E"/>
    <w:rsid w:val="00BC53E0"/>
    <w:rsid w:val="00BD0BFB"/>
    <w:rsid w:val="00BD2BA4"/>
    <w:rsid w:val="00BD39EF"/>
    <w:rsid w:val="00BD561F"/>
    <w:rsid w:val="00BD687F"/>
    <w:rsid w:val="00BE4335"/>
    <w:rsid w:val="00BE7C8E"/>
    <w:rsid w:val="00BF1825"/>
    <w:rsid w:val="00BF4B8D"/>
    <w:rsid w:val="00C016E1"/>
    <w:rsid w:val="00C028E9"/>
    <w:rsid w:val="00C04EE8"/>
    <w:rsid w:val="00C05009"/>
    <w:rsid w:val="00C06ECD"/>
    <w:rsid w:val="00C07408"/>
    <w:rsid w:val="00C07B02"/>
    <w:rsid w:val="00C1724A"/>
    <w:rsid w:val="00C22E18"/>
    <w:rsid w:val="00C23EAF"/>
    <w:rsid w:val="00C26D39"/>
    <w:rsid w:val="00C3106F"/>
    <w:rsid w:val="00C3129A"/>
    <w:rsid w:val="00C34CCE"/>
    <w:rsid w:val="00C429D1"/>
    <w:rsid w:val="00C43954"/>
    <w:rsid w:val="00C451DF"/>
    <w:rsid w:val="00C4566B"/>
    <w:rsid w:val="00C5262F"/>
    <w:rsid w:val="00C573C2"/>
    <w:rsid w:val="00C633AB"/>
    <w:rsid w:val="00C6518C"/>
    <w:rsid w:val="00C729E5"/>
    <w:rsid w:val="00C730E9"/>
    <w:rsid w:val="00C73B1B"/>
    <w:rsid w:val="00C7747F"/>
    <w:rsid w:val="00C77E1C"/>
    <w:rsid w:val="00C809E9"/>
    <w:rsid w:val="00C83209"/>
    <w:rsid w:val="00C90435"/>
    <w:rsid w:val="00C93966"/>
    <w:rsid w:val="00C94607"/>
    <w:rsid w:val="00C964F5"/>
    <w:rsid w:val="00CA656E"/>
    <w:rsid w:val="00CA7CA9"/>
    <w:rsid w:val="00CB09CF"/>
    <w:rsid w:val="00CB542D"/>
    <w:rsid w:val="00CB553D"/>
    <w:rsid w:val="00CD4797"/>
    <w:rsid w:val="00CD61CD"/>
    <w:rsid w:val="00CE2DDF"/>
    <w:rsid w:val="00CE3EBA"/>
    <w:rsid w:val="00CE3FA0"/>
    <w:rsid w:val="00CF3B7F"/>
    <w:rsid w:val="00D017F9"/>
    <w:rsid w:val="00D02643"/>
    <w:rsid w:val="00D03444"/>
    <w:rsid w:val="00D10B9D"/>
    <w:rsid w:val="00D11520"/>
    <w:rsid w:val="00D1348F"/>
    <w:rsid w:val="00D14180"/>
    <w:rsid w:val="00D147AB"/>
    <w:rsid w:val="00D179AD"/>
    <w:rsid w:val="00D214DF"/>
    <w:rsid w:val="00D24FC9"/>
    <w:rsid w:val="00D308EE"/>
    <w:rsid w:val="00D32629"/>
    <w:rsid w:val="00D37B85"/>
    <w:rsid w:val="00D423A2"/>
    <w:rsid w:val="00D47AFC"/>
    <w:rsid w:val="00D52857"/>
    <w:rsid w:val="00D61178"/>
    <w:rsid w:val="00D6276C"/>
    <w:rsid w:val="00D746EA"/>
    <w:rsid w:val="00D75B04"/>
    <w:rsid w:val="00D8267A"/>
    <w:rsid w:val="00D82DDD"/>
    <w:rsid w:val="00D846FB"/>
    <w:rsid w:val="00D90550"/>
    <w:rsid w:val="00D94D7D"/>
    <w:rsid w:val="00D955EE"/>
    <w:rsid w:val="00DA306B"/>
    <w:rsid w:val="00DA394F"/>
    <w:rsid w:val="00DA3BE4"/>
    <w:rsid w:val="00DA6C51"/>
    <w:rsid w:val="00DA7E14"/>
    <w:rsid w:val="00DB4CFA"/>
    <w:rsid w:val="00DC6E69"/>
    <w:rsid w:val="00DC7CBE"/>
    <w:rsid w:val="00DD309F"/>
    <w:rsid w:val="00DD35A1"/>
    <w:rsid w:val="00DD5AC2"/>
    <w:rsid w:val="00DD6325"/>
    <w:rsid w:val="00DD78DD"/>
    <w:rsid w:val="00DE17D6"/>
    <w:rsid w:val="00DE1E49"/>
    <w:rsid w:val="00DE650F"/>
    <w:rsid w:val="00DE7A00"/>
    <w:rsid w:val="00DF3B0A"/>
    <w:rsid w:val="00DF4097"/>
    <w:rsid w:val="00DF78C3"/>
    <w:rsid w:val="00E015A1"/>
    <w:rsid w:val="00E05A2D"/>
    <w:rsid w:val="00E14F7C"/>
    <w:rsid w:val="00E2000C"/>
    <w:rsid w:val="00E20355"/>
    <w:rsid w:val="00E22672"/>
    <w:rsid w:val="00E22A91"/>
    <w:rsid w:val="00E2510E"/>
    <w:rsid w:val="00E27DFF"/>
    <w:rsid w:val="00E33A00"/>
    <w:rsid w:val="00E35530"/>
    <w:rsid w:val="00E43F71"/>
    <w:rsid w:val="00E50223"/>
    <w:rsid w:val="00E622C3"/>
    <w:rsid w:val="00E66FA7"/>
    <w:rsid w:val="00E704B2"/>
    <w:rsid w:val="00E72711"/>
    <w:rsid w:val="00E74475"/>
    <w:rsid w:val="00E760CA"/>
    <w:rsid w:val="00E778EC"/>
    <w:rsid w:val="00E80737"/>
    <w:rsid w:val="00E8406A"/>
    <w:rsid w:val="00E8435C"/>
    <w:rsid w:val="00E86986"/>
    <w:rsid w:val="00E91113"/>
    <w:rsid w:val="00EA1E34"/>
    <w:rsid w:val="00EA6C34"/>
    <w:rsid w:val="00EB1279"/>
    <w:rsid w:val="00EB1AB8"/>
    <w:rsid w:val="00EB24F0"/>
    <w:rsid w:val="00EB4B1C"/>
    <w:rsid w:val="00EC0474"/>
    <w:rsid w:val="00EC2E55"/>
    <w:rsid w:val="00ED15D6"/>
    <w:rsid w:val="00ED26AA"/>
    <w:rsid w:val="00ED71FB"/>
    <w:rsid w:val="00ED7EBB"/>
    <w:rsid w:val="00EE202B"/>
    <w:rsid w:val="00EF112C"/>
    <w:rsid w:val="00EF2416"/>
    <w:rsid w:val="00EF405C"/>
    <w:rsid w:val="00F009C3"/>
    <w:rsid w:val="00F02F65"/>
    <w:rsid w:val="00F03539"/>
    <w:rsid w:val="00F07480"/>
    <w:rsid w:val="00F07624"/>
    <w:rsid w:val="00F11DF7"/>
    <w:rsid w:val="00F1282E"/>
    <w:rsid w:val="00F14D69"/>
    <w:rsid w:val="00F15493"/>
    <w:rsid w:val="00F203A3"/>
    <w:rsid w:val="00F20695"/>
    <w:rsid w:val="00F21DED"/>
    <w:rsid w:val="00F31B56"/>
    <w:rsid w:val="00F364C8"/>
    <w:rsid w:val="00F4175B"/>
    <w:rsid w:val="00F41761"/>
    <w:rsid w:val="00F4311D"/>
    <w:rsid w:val="00F441EC"/>
    <w:rsid w:val="00F445C0"/>
    <w:rsid w:val="00F464AB"/>
    <w:rsid w:val="00F5180A"/>
    <w:rsid w:val="00F54504"/>
    <w:rsid w:val="00F552EF"/>
    <w:rsid w:val="00F74E2C"/>
    <w:rsid w:val="00F77542"/>
    <w:rsid w:val="00F92B14"/>
    <w:rsid w:val="00F92BD6"/>
    <w:rsid w:val="00F9301A"/>
    <w:rsid w:val="00F93557"/>
    <w:rsid w:val="00F935A5"/>
    <w:rsid w:val="00FA49C4"/>
    <w:rsid w:val="00FA62D8"/>
    <w:rsid w:val="00FA63F9"/>
    <w:rsid w:val="00FA6A32"/>
    <w:rsid w:val="00FA6F62"/>
    <w:rsid w:val="00FB6C80"/>
    <w:rsid w:val="00FB7CF3"/>
    <w:rsid w:val="00FB7D80"/>
    <w:rsid w:val="00FB7E72"/>
    <w:rsid w:val="00FC1209"/>
    <w:rsid w:val="00FC22C8"/>
    <w:rsid w:val="00FC4BFF"/>
    <w:rsid w:val="00FD1D25"/>
    <w:rsid w:val="00FD3F9E"/>
    <w:rsid w:val="00FD58E2"/>
    <w:rsid w:val="00FE0636"/>
    <w:rsid w:val="00FE0BED"/>
    <w:rsid w:val="00FE5813"/>
    <w:rsid w:val="00FE6ACB"/>
    <w:rsid w:val="00FE6F4E"/>
    <w:rsid w:val="00FF306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07F37C3"/>
  <w15:docId w15:val="{31CA0197-905E-443E-B36D-DC5F4147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54551"/>
    <w:rPr>
      <w:rFonts w:ascii="Times New Roman" w:hAnsi="Times New Roman"/>
      <w:sz w:val="24"/>
    </w:rPr>
  </w:style>
  <w:style w:type="paragraph" w:styleId="Titolo1">
    <w:name w:val="heading 1"/>
    <w:basedOn w:val="Normale"/>
    <w:next w:val="Text1"/>
    <w:link w:val="Titolo1Carattere"/>
    <w:uiPriority w:val="9"/>
    <w:qFormat/>
    <w:rsid w:val="00E704B2"/>
    <w:pPr>
      <w:keepNext/>
      <w:numPr>
        <w:numId w:val="15"/>
      </w:numPr>
      <w:spacing w:before="360" w:after="120" w:line="240" w:lineRule="auto"/>
      <w:jc w:val="both"/>
      <w:outlineLvl w:val="0"/>
    </w:pPr>
    <w:rPr>
      <w:rFonts w:eastAsiaTheme="majorEastAsia" w:cs="Times New Roman"/>
      <w:b/>
      <w:bCs/>
      <w:smallCaps/>
      <w:szCs w:val="28"/>
    </w:rPr>
  </w:style>
  <w:style w:type="paragraph" w:styleId="Titolo2">
    <w:name w:val="heading 2"/>
    <w:basedOn w:val="Normale"/>
    <w:next w:val="Text1"/>
    <w:link w:val="Titolo2Carattere"/>
    <w:uiPriority w:val="9"/>
    <w:unhideWhenUsed/>
    <w:qFormat/>
    <w:rsid w:val="00E704B2"/>
    <w:pPr>
      <w:keepNext/>
      <w:numPr>
        <w:ilvl w:val="1"/>
        <w:numId w:val="15"/>
      </w:numPr>
      <w:spacing w:before="120" w:after="120" w:line="240" w:lineRule="auto"/>
      <w:jc w:val="both"/>
      <w:outlineLvl w:val="1"/>
    </w:pPr>
    <w:rPr>
      <w:rFonts w:eastAsiaTheme="majorEastAsia" w:cs="Times New Roman"/>
      <w:b/>
      <w:bCs/>
      <w:szCs w:val="26"/>
    </w:rPr>
  </w:style>
  <w:style w:type="paragraph" w:styleId="Titolo3">
    <w:name w:val="heading 3"/>
    <w:basedOn w:val="Normale"/>
    <w:next w:val="Text1"/>
    <w:link w:val="Titolo3Carattere"/>
    <w:uiPriority w:val="9"/>
    <w:unhideWhenUsed/>
    <w:qFormat/>
    <w:rsid w:val="00E704B2"/>
    <w:pPr>
      <w:keepNext/>
      <w:numPr>
        <w:ilvl w:val="2"/>
        <w:numId w:val="15"/>
      </w:numPr>
      <w:spacing w:before="120" w:after="120" w:line="240" w:lineRule="auto"/>
      <w:jc w:val="both"/>
      <w:outlineLvl w:val="2"/>
    </w:pPr>
    <w:rPr>
      <w:rFonts w:eastAsiaTheme="majorEastAsia" w:cs="Times New Roman"/>
      <w:bCs/>
      <w:i/>
    </w:rPr>
  </w:style>
  <w:style w:type="paragraph" w:styleId="Titolo4">
    <w:name w:val="heading 4"/>
    <w:basedOn w:val="Normale"/>
    <w:next w:val="Text1"/>
    <w:link w:val="Titolo4Carattere"/>
    <w:uiPriority w:val="9"/>
    <w:unhideWhenUsed/>
    <w:qFormat/>
    <w:rsid w:val="00E704B2"/>
    <w:pPr>
      <w:keepNext/>
      <w:numPr>
        <w:ilvl w:val="3"/>
        <w:numId w:val="15"/>
      </w:numPr>
      <w:spacing w:before="120" w:after="120" w:line="240" w:lineRule="auto"/>
      <w:jc w:val="both"/>
      <w:outlineLvl w:val="3"/>
    </w:pPr>
    <w:rPr>
      <w:rFonts w:eastAsiaTheme="majorEastAsia" w:cs="Times New Roman"/>
      <w:bCs/>
      <w:iCs/>
    </w:rPr>
  </w:style>
  <w:style w:type="paragraph" w:styleId="Titolo5">
    <w:name w:val="heading 5"/>
    <w:basedOn w:val="Normale"/>
    <w:next w:val="Normale"/>
    <w:link w:val="Titolo5Carattere"/>
    <w:qFormat/>
    <w:rsid w:val="00E704B2"/>
    <w:pPr>
      <w:tabs>
        <w:tab w:val="num" w:pos="1008"/>
      </w:tabs>
      <w:spacing w:before="240" w:after="60" w:line="240" w:lineRule="auto"/>
      <w:ind w:left="1008" w:hanging="1008"/>
      <w:outlineLvl w:val="4"/>
    </w:pPr>
    <w:rPr>
      <w:rFonts w:eastAsia="Times New Roman" w:cs="Times New Roman"/>
      <w:szCs w:val="20"/>
    </w:rPr>
  </w:style>
  <w:style w:type="paragraph" w:styleId="Titolo6">
    <w:name w:val="heading 6"/>
    <w:basedOn w:val="Normale"/>
    <w:next w:val="Normale"/>
    <w:link w:val="Titolo6Carattere"/>
    <w:qFormat/>
    <w:rsid w:val="00E704B2"/>
    <w:pPr>
      <w:tabs>
        <w:tab w:val="num" w:pos="1152"/>
      </w:tabs>
      <w:spacing w:before="240" w:after="60" w:line="240" w:lineRule="auto"/>
      <w:ind w:left="1152" w:hanging="1152"/>
      <w:outlineLvl w:val="5"/>
    </w:pPr>
    <w:rPr>
      <w:rFonts w:eastAsia="Times New Roman" w:cs="Times New Roman"/>
      <w:i/>
      <w:szCs w:val="20"/>
    </w:rPr>
  </w:style>
  <w:style w:type="paragraph" w:styleId="Titolo7">
    <w:name w:val="heading 7"/>
    <w:basedOn w:val="Normale"/>
    <w:next w:val="Normale"/>
    <w:link w:val="Titolo7Carattere"/>
    <w:qFormat/>
    <w:rsid w:val="00E704B2"/>
    <w:pPr>
      <w:tabs>
        <w:tab w:val="num" w:pos="1296"/>
      </w:tabs>
      <w:spacing w:before="240" w:after="60" w:line="240" w:lineRule="auto"/>
      <w:ind w:left="1296" w:hanging="1296"/>
      <w:outlineLvl w:val="6"/>
    </w:pPr>
    <w:rPr>
      <w:rFonts w:ascii="Arial" w:eastAsia="Times New Roman" w:hAnsi="Arial" w:cs="Times New Roman"/>
      <w:sz w:val="20"/>
      <w:szCs w:val="20"/>
    </w:rPr>
  </w:style>
  <w:style w:type="paragraph" w:styleId="Titolo8">
    <w:name w:val="heading 8"/>
    <w:basedOn w:val="Normale"/>
    <w:next w:val="Normale"/>
    <w:link w:val="Titolo8Carattere"/>
    <w:qFormat/>
    <w:rsid w:val="00E704B2"/>
    <w:pPr>
      <w:tabs>
        <w:tab w:val="num" w:pos="1440"/>
      </w:tabs>
      <w:spacing w:before="240" w:after="60" w:line="240" w:lineRule="auto"/>
      <w:ind w:left="1440" w:hanging="1440"/>
      <w:outlineLvl w:val="7"/>
    </w:pPr>
    <w:rPr>
      <w:rFonts w:ascii="Arial" w:eastAsia="Times New Roman" w:hAnsi="Arial" w:cs="Times New Roman"/>
      <w:i/>
      <w:sz w:val="20"/>
      <w:szCs w:val="20"/>
    </w:rPr>
  </w:style>
  <w:style w:type="paragraph" w:styleId="Titolo9">
    <w:name w:val="heading 9"/>
    <w:basedOn w:val="Normale"/>
    <w:next w:val="Normale"/>
    <w:link w:val="Titolo9Carattere"/>
    <w:qFormat/>
    <w:rsid w:val="00E704B2"/>
    <w:pPr>
      <w:tabs>
        <w:tab w:val="num" w:pos="1584"/>
      </w:tabs>
      <w:spacing w:before="240" w:after="60" w:line="240" w:lineRule="auto"/>
      <w:ind w:left="1584" w:hanging="1584"/>
      <w:outlineLvl w:val="8"/>
    </w:pPr>
    <w:rPr>
      <w:rFonts w:ascii="Arial" w:eastAsia="Times New Roman" w:hAnsi="Arial" w:cs="Times New Roman"/>
      <w:b/>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04B2"/>
    <w:rPr>
      <w:rFonts w:ascii="Times New Roman" w:eastAsiaTheme="majorEastAsia" w:hAnsi="Times New Roman" w:cs="Times New Roman"/>
      <w:b/>
      <w:bCs/>
      <w:smallCaps/>
      <w:sz w:val="24"/>
      <w:szCs w:val="28"/>
    </w:rPr>
  </w:style>
  <w:style w:type="character" w:customStyle="1" w:styleId="Titolo2Carattere">
    <w:name w:val="Titolo 2 Carattere"/>
    <w:basedOn w:val="Carpredefinitoparagrafo"/>
    <w:link w:val="Titolo2"/>
    <w:uiPriority w:val="9"/>
    <w:rsid w:val="00E704B2"/>
    <w:rPr>
      <w:rFonts w:ascii="Times New Roman" w:eastAsiaTheme="majorEastAsia" w:hAnsi="Times New Roman" w:cs="Times New Roman"/>
      <w:b/>
      <w:bCs/>
      <w:sz w:val="24"/>
      <w:szCs w:val="26"/>
    </w:rPr>
  </w:style>
  <w:style w:type="character" w:customStyle="1" w:styleId="Titolo3Carattere">
    <w:name w:val="Titolo 3 Carattere"/>
    <w:basedOn w:val="Carpredefinitoparagrafo"/>
    <w:link w:val="Titolo3"/>
    <w:uiPriority w:val="9"/>
    <w:rsid w:val="00E704B2"/>
    <w:rPr>
      <w:rFonts w:ascii="Times New Roman" w:eastAsiaTheme="majorEastAsia" w:hAnsi="Times New Roman" w:cs="Times New Roman"/>
      <w:bCs/>
      <w:i/>
      <w:sz w:val="24"/>
    </w:rPr>
  </w:style>
  <w:style w:type="character" w:customStyle="1" w:styleId="Titolo4Carattere">
    <w:name w:val="Titolo 4 Carattere"/>
    <w:basedOn w:val="Carpredefinitoparagrafo"/>
    <w:link w:val="Titolo4"/>
    <w:uiPriority w:val="9"/>
    <w:rsid w:val="00E704B2"/>
    <w:rPr>
      <w:rFonts w:ascii="Times New Roman" w:eastAsiaTheme="majorEastAsia" w:hAnsi="Times New Roman" w:cs="Times New Roman"/>
      <w:bCs/>
      <w:iCs/>
      <w:sz w:val="24"/>
    </w:rPr>
  </w:style>
  <w:style w:type="character" w:customStyle="1" w:styleId="Titolo5Carattere">
    <w:name w:val="Titolo 5 Carattere"/>
    <w:basedOn w:val="Carpredefinitoparagrafo"/>
    <w:link w:val="Titolo5"/>
    <w:rsid w:val="00E704B2"/>
    <w:rPr>
      <w:rFonts w:ascii="Times New Roman" w:eastAsia="Times New Roman" w:hAnsi="Times New Roman" w:cs="Times New Roman"/>
      <w:szCs w:val="20"/>
      <w:lang w:val="fr-FR" w:eastAsia="fr-FR"/>
    </w:rPr>
  </w:style>
  <w:style w:type="character" w:customStyle="1" w:styleId="Titolo6Carattere">
    <w:name w:val="Titolo 6 Carattere"/>
    <w:basedOn w:val="Carpredefinitoparagrafo"/>
    <w:link w:val="Titolo6"/>
    <w:rsid w:val="00E704B2"/>
    <w:rPr>
      <w:rFonts w:ascii="Times New Roman" w:eastAsia="Times New Roman" w:hAnsi="Times New Roman" w:cs="Times New Roman"/>
      <w:i/>
      <w:szCs w:val="20"/>
      <w:lang w:val="fr-FR" w:eastAsia="fr-FR"/>
    </w:rPr>
  </w:style>
  <w:style w:type="character" w:customStyle="1" w:styleId="Titolo7Carattere">
    <w:name w:val="Titolo 7 Carattere"/>
    <w:basedOn w:val="Carpredefinitoparagrafo"/>
    <w:link w:val="Titolo7"/>
    <w:rsid w:val="00E704B2"/>
    <w:rPr>
      <w:rFonts w:ascii="Arial" w:eastAsia="Times New Roman" w:hAnsi="Arial" w:cs="Times New Roman"/>
      <w:sz w:val="20"/>
      <w:szCs w:val="20"/>
      <w:lang w:val="fr-FR" w:eastAsia="fr-FR"/>
    </w:rPr>
  </w:style>
  <w:style w:type="character" w:customStyle="1" w:styleId="Titolo8Carattere">
    <w:name w:val="Titolo 8 Carattere"/>
    <w:basedOn w:val="Carpredefinitoparagrafo"/>
    <w:link w:val="Titolo8"/>
    <w:rsid w:val="00E704B2"/>
    <w:rPr>
      <w:rFonts w:ascii="Arial" w:eastAsia="Times New Roman" w:hAnsi="Arial" w:cs="Times New Roman"/>
      <w:i/>
      <w:sz w:val="20"/>
      <w:szCs w:val="20"/>
      <w:lang w:val="fr-FR" w:eastAsia="fr-FR"/>
    </w:rPr>
  </w:style>
  <w:style w:type="character" w:customStyle="1" w:styleId="Titolo9Carattere">
    <w:name w:val="Titolo 9 Carattere"/>
    <w:basedOn w:val="Carpredefinitoparagrafo"/>
    <w:link w:val="Titolo9"/>
    <w:rsid w:val="00E704B2"/>
    <w:rPr>
      <w:rFonts w:ascii="Arial" w:eastAsia="Times New Roman" w:hAnsi="Arial" w:cs="Times New Roman"/>
      <w:b/>
      <w:i/>
      <w:sz w:val="18"/>
      <w:szCs w:val="20"/>
      <w:lang w:val="fr-FR" w:eastAsia="fr-FR"/>
    </w:rPr>
  </w:style>
  <w:style w:type="numbering" w:customStyle="1" w:styleId="NoList1">
    <w:name w:val="No List1"/>
    <w:next w:val="Nessunelenco"/>
    <w:uiPriority w:val="99"/>
    <w:semiHidden/>
    <w:unhideWhenUsed/>
    <w:rsid w:val="00E704B2"/>
  </w:style>
  <w:style w:type="paragraph" w:customStyle="1" w:styleId="Text1">
    <w:name w:val="Text 1"/>
    <w:basedOn w:val="Normale"/>
    <w:rsid w:val="00E704B2"/>
    <w:pPr>
      <w:spacing w:before="120" w:after="120" w:line="240" w:lineRule="auto"/>
      <w:ind w:left="850"/>
      <w:jc w:val="both"/>
    </w:pPr>
    <w:rPr>
      <w:rFonts w:cs="Times New Roman"/>
    </w:rPr>
  </w:style>
  <w:style w:type="character" w:styleId="Numeropagina">
    <w:name w:val="page number"/>
    <w:basedOn w:val="Carpredefinitoparagrafo"/>
    <w:rsid w:val="00E704B2"/>
  </w:style>
  <w:style w:type="paragraph" w:styleId="Formuladichiusura">
    <w:name w:val="Closing"/>
    <w:basedOn w:val="Normale"/>
    <w:next w:val="Firma"/>
    <w:link w:val="FormuladichiusuraCarattere"/>
    <w:rsid w:val="00E704B2"/>
    <w:pPr>
      <w:tabs>
        <w:tab w:val="left" w:pos="5103"/>
      </w:tabs>
      <w:spacing w:before="240" w:after="240" w:line="240" w:lineRule="auto"/>
      <w:ind w:left="5103"/>
    </w:pPr>
    <w:rPr>
      <w:rFonts w:eastAsia="Times New Roman" w:cs="Times New Roman"/>
      <w:szCs w:val="20"/>
    </w:rPr>
  </w:style>
  <w:style w:type="character" w:customStyle="1" w:styleId="FormuladichiusuraCarattere">
    <w:name w:val="Formula di chiusura Carattere"/>
    <w:basedOn w:val="Carpredefinitoparagrafo"/>
    <w:link w:val="Formuladichiusura"/>
    <w:rsid w:val="00E704B2"/>
    <w:rPr>
      <w:rFonts w:ascii="Times New Roman" w:eastAsia="Times New Roman" w:hAnsi="Times New Roman" w:cs="Times New Roman"/>
      <w:sz w:val="24"/>
      <w:szCs w:val="20"/>
      <w:lang w:val="fr-FR" w:eastAsia="fr-FR"/>
    </w:rPr>
  </w:style>
  <w:style w:type="paragraph" w:styleId="Firma">
    <w:name w:val="Signature"/>
    <w:basedOn w:val="Normale"/>
    <w:link w:val="FirmaCarattere"/>
    <w:rsid w:val="00E704B2"/>
    <w:pPr>
      <w:spacing w:after="0" w:line="240" w:lineRule="auto"/>
      <w:ind w:left="4252"/>
    </w:pPr>
    <w:rPr>
      <w:rFonts w:eastAsia="Times New Roman" w:cs="Times New Roman"/>
      <w:szCs w:val="20"/>
    </w:rPr>
  </w:style>
  <w:style w:type="character" w:customStyle="1" w:styleId="FirmaCarattere">
    <w:name w:val="Firma Carattere"/>
    <w:basedOn w:val="Carpredefinitoparagrafo"/>
    <w:link w:val="Firma"/>
    <w:rsid w:val="00E704B2"/>
    <w:rPr>
      <w:rFonts w:ascii="Times New Roman" w:eastAsia="Times New Roman" w:hAnsi="Times New Roman" w:cs="Times New Roman"/>
      <w:sz w:val="24"/>
      <w:szCs w:val="20"/>
      <w:lang w:val="fr-FR" w:eastAsia="fr-FR"/>
    </w:rPr>
  </w:style>
  <w:style w:type="paragraph" w:styleId="Data">
    <w:name w:val="Date"/>
    <w:basedOn w:val="Normale"/>
    <w:next w:val="References"/>
    <w:link w:val="DataCarattere"/>
    <w:rsid w:val="00E704B2"/>
    <w:pPr>
      <w:spacing w:after="0" w:line="240" w:lineRule="auto"/>
      <w:ind w:left="5103" w:right="-567"/>
    </w:pPr>
    <w:rPr>
      <w:rFonts w:eastAsia="Times New Roman" w:cs="Times New Roman"/>
      <w:szCs w:val="20"/>
    </w:rPr>
  </w:style>
  <w:style w:type="character" w:customStyle="1" w:styleId="DataCarattere">
    <w:name w:val="Data Carattere"/>
    <w:basedOn w:val="Carpredefinitoparagrafo"/>
    <w:link w:val="Data"/>
    <w:rsid w:val="00E704B2"/>
    <w:rPr>
      <w:rFonts w:ascii="Times New Roman" w:eastAsia="Times New Roman" w:hAnsi="Times New Roman" w:cs="Times New Roman"/>
      <w:sz w:val="24"/>
      <w:szCs w:val="20"/>
      <w:lang w:val="fr-FR" w:eastAsia="fr-FR"/>
    </w:rPr>
  </w:style>
  <w:style w:type="paragraph" w:customStyle="1" w:styleId="References">
    <w:name w:val="References"/>
    <w:basedOn w:val="Normale"/>
    <w:next w:val="Normale"/>
    <w:rsid w:val="00E704B2"/>
    <w:pPr>
      <w:spacing w:after="240" w:line="240" w:lineRule="auto"/>
      <w:ind w:left="5103"/>
    </w:pPr>
    <w:rPr>
      <w:rFonts w:eastAsia="Times New Roman" w:cs="Times New Roman"/>
      <w:sz w:val="20"/>
      <w:szCs w:val="20"/>
    </w:rPr>
  </w:style>
  <w:style w:type="paragraph" w:customStyle="1" w:styleId="ZCom">
    <w:name w:val="Z_Com"/>
    <w:basedOn w:val="Normale"/>
    <w:next w:val="ZDGName"/>
    <w:rsid w:val="00E704B2"/>
    <w:pPr>
      <w:widowControl w:val="0"/>
      <w:spacing w:after="0" w:line="240" w:lineRule="auto"/>
      <w:ind w:right="85"/>
      <w:jc w:val="both"/>
    </w:pPr>
    <w:rPr>
      <w:rFonts w:ascii="Arial" w:eastAsia="Times New Roman" w:hAnsi="Arial" w:cs="Times New Roman"/>
      <w:snapToGrid w:val="0"/>
      <w:szCs w:val="20"/>
    </w:rPr>
  </w:style>
  <w:style w:type="paragraph" w:customStyle="1" w:styleId="ZDGName">
    <w:name w:val="Z_DGName"/>
    <w:basedOn w:val="Normale"/>
    <w:rsid w:val="00E704B2"/>
    <w:pPr>
      <w:widowControl w:val="0"/>
      <w:spacing w:after="0" w:line="240" w:lineRule="auto"/>
      <w:ind w:right="85"/>
      <w:jc w:val="both"/>
    </w:pPr>
    <w:rPr>
      <w:rFonts w:ascii="Arial" w:eastAsia="Times New Roman" w:hAnsi="Arial" w:cs="Times New Roman"/>
      <w:snapToGrid w:val="0"/>
      <w:sz w:val="16"/>
      <w:szCs w:val="20"/>
    </w:rPr>
  </w:style>
  <w:style w:type="paragraph" w:customStyle="1" w:styleId="Copies">
    <w:name w:val="Copies"/>
    <w:basedOn w:val="Normale"/>
    <w:next w:val="Normale"/>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rPr>
  </w:style>
  <w:style w:type="paragraph" w:styleId="Indice1">
    <w:name w:val="index 1"/>
    <w:basedOn w:val="Normale"/>
    <w:next w:val="Normale"/>
    <w:autoRedefine/>
    <w:semiHidden/>
    <w:rsid w:val="00E704B2"/>
    <w:pPr>
      <w:spacing w:after="0" w:line="240" w:lineRule="auto"/>
      <w:ind w:left="240" w:hanging="240"/>
    </w:pPr>
    <w:rPr>
      <w:rFonts w:eastAsia="Times New Roman" w:cs="Times New Roman"/>
      <w:szCs w:val="20"/>
    </w:rPr>
  </w:style>
  <w:style w:type="paragraph" w:customStyle="1" w:styleId="Participants">
    <w:name w:val="Participants"/>
    <w:basedOn w:val="Normale"/>
    <w:next w:val="Copies"/>
    <w:rsid w:val="00E704B2"/>
    <w:pPr>
      <w:tabs>
        <w:tab w:val="left" w:pos="2512"/>
        <w:tab w:val="left" w:pos="2762"/>
        <w:tab w:val="left" w:pos="5642"/>
        <w:tab w:val="left" w:pos="6362"/>
        <w:tab w:val="left" w:pos="6720"/>
      </w:tabs>
      <w:spacing w:before="480" w:after="0" w:line="240" w:lineRule="auto"/>
      <w:ind w:left="1792" w:hanging="1792"/>
    </w:pPr>
    <w:rPr>
      <w:rFonts w:eastAsia="Times New Roman" w:cs="Times New Roman"/>
      <w:szCs w:val="20"/>
    </w:rPr>
  </w:style>
  <w:style w:type="paragraph" w:customStyle="1" w:styleId="NoteHead">
    <w:name w:val="NoteHead"/>
    <w:basedOn w:val="Normale"/>
    <w:next w:val="Normale"/>
    <w:rsid w:val="00E704B2"/>
    <w:pPr>
      <w:spacing w:before="720" w:after="720" w:line="240" w:lineRule="auto"/>
      <w:jc w:val="center"/>
    </w:pPr>
    <w:rPr>
      <w:rFonts w:eastAsia="Times New Roman" w:cs="Times New Roman"/>
      <w:b/>
      <w:smallCaps/>
      <w:szCs w:val="20"/>
    </w:rPr>
  </w:style>
  <w:style w:type="paragraph" w:styleId="Rientrocorpodeltesto">
    <w:name w:val="Body Text Indent"/>
    <w:basedOn w:val="Normale"/>
    <w:link w:val="RientrocorpodeltestoCarattere"/>
    <w:rsid w:val="00E704B2"/>
    <w:pPr>
      <w:spacing w:after="0" w:line="240" w:lineRule="auto"/>
      <w:ind w:left="720"/>
      <w:jc w:val="both"/>
    </w:pPr>
    <w:rPr>
      <w:rFonts w:eastAsia="Times New Roman" w:cs="Times New Roman"/>
      <w:szCs w:val="20"/>
    </w:rPr>
  </w:style>
  <w:style w:type="character" w:customStyle="1" w:styleId="RientrocorpodeltestoCarattere">
    <w:name w:val="Rientro corpo del testo Carattere"/>
    <w:basedOn w:val="Carpredefinitoparagrafo"/>
    <w:link w:val="Rientrocorpodeltesto"/>
    <w:rsid w:val="00E704B2"/>
    <w:rPr>
      <w:rFonts w:ascii="Times New Roman" w:eastAsia="Times New Roman" w:hAnsi="Times New Roman" w:cs="Times New Roman"/>
      <w:szCs w:val="20"/>
      <w:lang w:val="fr-FR" w:eastAsia="fr-FR"/>
    </w:rPr>
  </w:style>
  <w:style w:type="character" w:styleId="Rimandonotadichiusura">
    <w:name w:val="endnote reference"/>
    <w:semiHidden/>
    <w:rsid w:val="00E704B2"/>
    <w:rPr>
      <w:vertAlign w:val="superscript"/>
    </w:rPr>
  </w:style>
  <w:style w:type="character" w:customStyle="1" w:styleId="MappadocumentoCarattere">
    <w:name w:val="Mappa documento Carattere"/>
    <w:basedOn w:val="Carpredefinitoparagrafo"/>
    <w:link w:val="Mappadocumento"/>
    <w:semiHidden/>
    <w:rsid w:val="00E704B2"/>
    <w:rPr>
      <w:rFonts w:ascii="Tahoma" w:eastAsia="Times New Roman" w:hAnsi="Tahoma" w:cs="Times New Roman"/>
      <w:sz w:val="24"/>
      <w:szCs w:val="20"/>
      <w:shd w:val="clear" w:color="auto" w:fill="000080"/>
      <w:lang w:val="fr-FR" w:eastAsia="fr-FR"/>
    </w:rPr>
  </w:style>
  <w:style w:type="paragraph" w:styleId="Mappadocumento">
    <w:name w:val="Document Map"/>
    <w:basedOn w:val="Normale"/>
    <w:link w:val="MappadocumentoCarattere"/>
    <w:semiHidden/>
    <w:rsid w:val="00E704B2"/>
    <w:pPr>
      <w:shd w:val="clear" w:color="auto" w:fill="000080"/>
      <w:spacing w:after="0" w:line="240" w:lineRule="auto"/>
    </w:pPr>
    <w:rPr>
      <w:rFonts w:ascii="Tahoma" w:eastAsia="Times New Roman" w:hAnsi="Tahoma" w:cs="Times New Roman"/>
      <w:szCs w:val="20"/>
    </w:rPr>
  </w:style>
  <w:style w:type="character" w:customStyle="1" w:styleId="DocumentMapChar1">
    <w:name w:val="Document Map Char1"/>
    <w:basedOn w:val="Carpredefinitoparagrafo"/>
    <w:uiPriority w:val="99"/>
    <w:semiHidden/>
    <w:rsid w:val="00E704B2"/>
    <w:rPr>
      <w:rFonts w:ascii="Segoe UI" w:hAnsi="Segoe UI" w:cs="Segoe UI"/>
      <w:sz w:val="16"/>
      <w:szCs w:val="16"/>
    </w:rPr>
  </w:style>
  <w:style w:type="character" w:styleId="Enfasigrassetto">
    <w:name w:val="Strong"/>
    <w:uiPriority w:val="22"/>
    <w:qFormat/>
    <w:rsid w:val="00E704B2"/>
    <w:rPr>
      <w:b/>
    </w:rPr>
  </w:style>
  <w:style w:type="character" w:styleId="Collegamentoipertestuale">
    <w:name w:val="Hyperlink"/>
    <w:uiPriority w:val="99"/>
    <w:rsid w:val="00E704B2"/>
    <w:rPr>
      <w:color w:val="0000FF"/>
      <w:u w:val="single"/>
    </w:rPr>
  </w:style>
  <w:style w:type="character" w:styleId="Enfasicorsivo">
    <w:name w:val="Emphasis"/>
    <w:qFormat/>
    <w:rsid w:val="00E704B2"/>
    <w:rPr>
      <w:i/>
    </w:rPr>
  </w:style>
  <w:style w:type="character" w:styleId="Collegamentovisitato">
    <w:name w:val="FollowedHyperlink"/>
    <w:rsid w:val="00E704B2"/>
    <w:rPr>
      <w:color w:val="800080"/>
      <w:u w:val="single"/>
    </w:rPr>
  </w:style>
  <w:style w:type="paragraph" w:styleId="Corpotesto">
    <w:name w:val="Body Text"/>
    <w:basedOn w:val="Normale"/>
    <w:link w:val="CorpotestoCarattere"/>
    <w:rsid w:val="00E704B2"/>
    <w:pPr>
      <w:spacing w:after="0" w:line="240" w:lineRule="auto"/>
      <w:jc w:val="both"/>
    </w:pPr>
    <w:rPr>
      <w:rFonts w:ascii="Arial" w:eastAsia="Times New Roman" w:hAnsi="Arial" w:cs="Times New Roman"/>
      <w:sz w:val="20"/>
      <w:szCs w:val="20"/>
    </w:rPr>
  </w:style>
  <w:style w:type="character" w:customStyle="1" w:styleId="CorpotestoCarattere">
    <w:name w:val="Corpo testo Carattere"/>
    <w:basedOn w:val="Carpredefinitoparagrafo"/>
    <w:link w:val="Corpotesto"/>
    <w:rsid w:val="00E704B2"/>
    <w:rPr>
      <w:rFonts w:ascii="Arial" w:eastAsia="Times New Roman" w:hAnsi="Arial" w:cs="Times New Roman"/>
      <w:sz w:val="20"/>
      <w:szCs w:val="20"/>
      <w:lang w:val="fr-FR" w:eastAsia="fr-FR"/>
    </w:rPr>
  </w:style>
  <w:style w:type="paragraph" w:customStyle="1" w:styleId="Blockquote">
    <w:name w:val="Blockquote"/>
    <w:basedOn w:val="Normale"/>
    <w:rsid w:val="00E704B2"/>
    <w:pPr>
      <w:spacing w:before="100" w:after="100" w:line="240" w:lineRule="auto"/>
      <w:ind w:left="360" w:right="360"/>
    </w:pPr>
    <w:rPr>
      <w:rFonts w:eastAsia="Times New Roman" w:cs="Times New Roman"/>
      <w:snapToGrid w:val="0"/>
      <w:szCs w:val="20"/>
    </w:rPr>
  </w:style>
  <w:style w:type="paragraph" w:styleId="NormaleWeb">
    <w:name w:val="Normal (Web)"/>
    <w:basedOn w:val="Normale"/>
    <w:uiPriority w:val="99"/>
    <w:rsid w:val="00E704B2"/>
    <w:pPr>
      <w:spacing w:before="100" w:beforeAutospacing="1" w:after="100" w:afterAutospacing="1" w:line="240" w:lineRule="auto"/>
    </w:pPr>
    <w:rPr>
      <w:rFonts w:eastAsia="Times New Roman" w:cs="Times New Roman"/>
      <w:color w:val="000080"/>
      <w:sz w:val="20"/>
      <w:szCs w:val="20"/>
    </w:rPr>
  </w:style>
  <w:style w:type="paragraph" w:styleId="Testofumetto">
    <w:name w:val="Balloon Text"/>
    <w:basedOn w:val="Normale"/>
    <w:link w:val="TestofumettoCarattere"/>
    <w:semiHidden/>
    <w:rsid w:val="00E704B2"/>
    <w:pPr>
      <w:spacing w:after="0" w:line="240" w:lineRule="auto"/>
    </w:pPr>
    <w:rPr>
      <w:rFonts w:ascii="Tahoma" w:eastAsia="Times New Roman" w:hAnsi="Tahoma" w:cs="Tahoma"/>
      <w:sz w:val="16"/>
      <w:szCs w:val="16"/>
    </w:rPr>
  </w:style>
  <w:style w:type="character" w:customStyle="1" w:styleId="TestofumettoCarattere">
    <w:name w:val="Testo fumetto Carattere"/>
    <w:basedOn w:val="Carpredefinitoparagrafo"/>
    <w:link w:val="Testofumetto"/>
    <w:semiHidden/>
    <w:rsid w:val="00E704B2"/>
    <w:rPr>
      <w:rFonts w:ascii="Tahoma" w:eastAsia="Times New Roman" w:hAnsi="Tahoma" w:cs="Tahoma"/>
      <w:sz w:val="16"/>
      <w:szCs w:val="16"/>
      <w:lang w:val="fr-FR" w:eastAsia="fr-FR"/>
    </w:rPr>
  </w:style>
  <w:style w:type="paragraph" w:customStyle="1" w:styleId="CM4">
    <w:name w:val="CM4"/>
    <w:basedOn w:val="Normale"/>
    <w:next w:val="Normale"/>
    <w:uiPriority w:val="99"/>
    <w:rsid w:val="00E704B2"/>
    <w:pPr>
      <w:autoSpaceDE w:val="0"/>
      <w:autoSpaceDN w:val="0"/>
      <w:adjustRightInd w:val="0"/>
      <w:spacing w:after="0" w:line="240" w:lineRule="auto"/>
    </w:pPr>
    <w:rPr>
      <w:rFonts w:ascii="EUAlbertina" w:eastAsia="Calibri" w:hAnsi="EUAlbertina" w:cs="Times New Roman"/>
      <w:szCs w:val="24"/>
    </w:rPr>
  </w:style>
  <w:style w:type="paragraph" w:customStyle="1" w:styleId="BodySingle">
    <w:name w:val="Body Single"/>
    <w:basedOn w:val="Corpotesto"/>
    <w:rsid w:val="00E704B2"/>
    <w:pPr>
      <w:spacing w:line="290" w:lineRule="atLeast"/>
      <w:jc w:val="left"/>
    </w:pPr>
    <w:rPr>
      <w:rFonts w:ascii="Times New Roman" w:hAnsi="Times New Roman"/>
      <w:sz w:val="24"/>
    </w:rPr>
  </w:style>
  <w:style w:type="paragraph" w:customStyle="1" w:styleId="Style11ptBefore6ptAfter6pt">
    <w:name w:val="Style 11 pt Before:  6 pt After:  6 pt"/>
    <w:basedOn w:val="Normale"/>
    <w:rsid w:val="00E704B2"/>
    <w:pPr>
      <w:spacing w:before="120" w:after="120" w:line="240" w:lineRule="auto"/>
      <w:jc w:val="both"/>
    </w:pPr>
    <w:rPr>
      <w:rFonts w:eastAsia="Times New Roman" w:cs="Times New Roman"/>
      <w:szCs w:val="20"/>
    </w:rPr>
  </w:style>
  <w:style w:type="paragraph" w:customStyle="1" w:styleId="ListDash2">
    <w:name w:val="List Dash 2"/>
    <w:basedOn w:val="Text2"/>
    <w:rsid w:val="00E704B2"/>
    <w:pPr>
      <w:numPr>
        <w:numId w:val="1"/>
      </w:numPr>
      <w:spacing w:before="0" w:after="240"/>
    </w:pPr>
    <w:rPr>
      <w:rFonts w:eastAsia="Times New Roman"/>
      <w:szCs w:val="20"/>
    </w:rPr>
  </w:style>
  <w:style w:type="paragraph" w:customStyle="1" w:styleId="Text2">
    <w:name w:val="Text 2"/>
    <w:basedOn w:val="Normale"/>
    <w:rsid w:val="00E704B2"/>
    <w:pPr>
      <w:spacing w:before="120" w:after="120" w:line="240" w:lineRule="auto"/>
      <w:ind w:left="1417"/>
      <w:jc w:val="both"/>
    </w:pPr>
    <w:rPr>
      <w:rFonts w:cs="Times New Roman"/>
    </w:rPr>
  </w:style>
  <w:style w:type="paragraph" w:customStyle="1" w:styleId="SectionStyle">
    <w:name w:val="SectionStyle"/>
    <w:basedOn w:val="Normale"/>
    <w:rsid w:val="00E704B2"/>
    <w:pPr>
      <w:keepNext/>
      <w:numPr>
        <w:numId w:val="2"/>
      </w:numPr>
      <w:tabs>
        <w:tab w:val="clear" w:pos="1437"/>
        <w:tab w:val="left" w:pos="480"/>
        <w:tab w:val="left" w:pos="8640"/>
      </w:tabs>
      <w:spacing w:before="120" w:after="0" w:line="240" w:lineRule="auto"/>
      <w:ind w:left="480" w:hanging="480"/>
      <w:outlineLvl w:val="0"/>
    </w:pPr>
    <w:rPr>
      <w:rFonts w:ascii="Book Antiqua" w:eastAsia="Times New Roman" w:hAnsi="Book Antiqua" w:cs="Times New Roman"/>
      <w:sz w:val="23"/>
      <w:szCs w:val="24"/>
    </w:rPr>
  </w:style>
  <w:style w:type="paragraph" w:customStyle="1" w:styleId="QuestionStyle">
    <w:name w:val="QuestionStyle"/>
    <w:basedOn w:val="Normale"/>
    <w:rsid w:val="00E704B2"/>
    <w:pPr>
      <w:keepNext/>
      <w:numPr>
        <w:ilvl w:val="1"/>
        <w:numId w:val="2"/>
      </w:numPr>
      <w:tabs>
        <w:tab w:val="clear" w:pos="2214"/>
        <w:tab w:val="left" w:pos="960"/>
        <w:tab w:val="left" w:pos="8640"/>
      </w:tabs>
      <w:spacing w:before="120" w:after="0" w:line="240" w:lineRule="auto"/>
      <w:ind w:left="960" w:hanging="720"/>
      <w:outlineLvl w:val="1"/>
    </w:pPr>
    <w:rPr>
      <w:rFonts w:ascii="Book Antiqua" w:eastAsia="Times New Roman" w:hAnsi="Book Antiqua" w:cs="Times New Roman"/>
      <w:sz w:val="23"/>
      <w:szCs w:val="24"/>
    </w:rPr>
  </w:style>
  <w:style w:type="paragraph" w:customStyle="1" w:styleId="AnswerStyle">
    <w:name w:val="AnswerStyle"/>
    <w:basedOn w:val="Normale"/>
    <w:rsid w:val="00E704B2"/>
    <w:pPr>
      <w:tabs>
        <w:tab w:val="left" w:pos="8640"/>
      </w:tabs>
      <w:spacing w:before="120" w:after="0" w:line="240" w:lineRule="auto"/>
      <w:ind w:left="960"/>
      <w:contextualSpacing/>
    </w:pPr>
    <w:rPr>
      <w:rFonts w:ascii="Book Antiqua" w:eastAsia="Times New Roman" w:hAnsi="Book Antiqua" w:cs="Times New Roman"/>
      <w:sz w:val="23"/>
      <w:szCs w:val="24"/>
    </w:rPr>
  </w:style>
  <w:style w:type="paragraph" w:customStyle="1" w:styleId="QuestionStyleIndent">
    <w:name w:val="QuestionStyleIndent"/>
    <w:basedOn w:val="Normale"/>
    <w:rsid w:val="00E704B2"/>
    <w:pPr>
      <w:keepNext/>
      <w:numPr>
        <w:ilvl w:val="2"/>
        <w:numId w:val="2"/>
      </w:numPr>
      <w:tabs>
        <w:tab w:val="clear" w:pos="2517"/>
        <w:tab w:val="left" w:pos="1440"/>
        <w:tab w:val="left" w:pos="8640"/>
      </w:tabs>
      <w:spacing w:before="120" w:after="0" w:line="240" w:lineRule="auto"/>
      <w:ind w:left="1440" w:hanging="720"/>
      <w:outlineLvl w:val="2"/>
    </w:pPr>
    <w:rPr>
      <w:rFonts w:ascii="Book Antiqua" w:eastAsia="Times New Roman" w:hAnsi="Book Antiqua" w:cs="Times New Roman"/>
      <w:sz w:val="23"/>
      <w:szCs w:val="24"/>
    </w:rPr>
  </w:style>
  <w:style w:type="character" w:styleId="Rimandocommento">
    <w:name w:val="annotation reference"/>
    <w:uiPriority w:val="99"/>
    <w:rsid w:val="00E704B2"/>
    <w:rPr>
      <w:sz w:val="16"/>
      <w:szCs w:val="16"/>
    </w:rPr>
  </w:style>
  <w:style w:type="paragraph" w:styleId="Testocommento">
    <w:name w:val="annotation text"/>
    <w:basedOn w:val="Normale"/>
    <w:link w:val="TestocommentoCarattere"/>
    <w:uiPriority w:val="99"/>
    <w:rsid w:val="00E704B2"/>
    <w:pPr>
      <w:spacing w:after="0" w:line="240" w:lineRule="auto"/>
    </w:pPr>
    <w:rPr>
      <w:rFonts w:eastAsia="Times New Roman" w:cs="Times New Roman"/>
      <w:sz w:val="20"/>
      <w:szCs w:val="20"/>
    </w:rPr>
  </w:style>
  <w:style w:type="character" w:customStyle="1" w:styleId="TestocommentoCarattere">
    <w:name w:val="Testo commento Carattere"/>
    <w:basedOn w:val="Carpredefinitoparagrafo"/>
    <w:link w:val="Testocommento"/>
    <w:uiPriority w:val="99"/>
    <w:rsid w:val="00E704B2"/>
    <w:rPr>
      <w:rFonts w:ascii="Times New Roman" w:eastAsia="Times New Roman" w:hAnsi="Times New Roman" w:cs="Times New Roman"/>
      <w:sz w:val="20"/>
      <w:szCs w:val="20"/>
      <w:lang w:val="fr-FR" w:eastAsia="fr-FR"/>
    </w:rPr>
  </w:style>
  <w:style w:type="paragraph" w:styleId="Soggettocommento">
    <w:name w:val="annotation subject"/>
    <w:basedOn w:val="Testocommento"/>
    <w:next w:val="Testocommento"/>
    <w:link w:val="SoggettocommentoCarattere"/>
    <w:rsid w:val="00E704B2"/>
    <w:rPr>
      <w:b/>
      <w:bCs/>
    </w:rPr>
  </w:style>
  <w:style w:type="character" w:customStyle="1" w:styleId="SoggettocommentoCarattere">
    <w:name w:val="Soggetto commento Carattere"/>
    <w:basedOn w:val="TestocommentoCarattere"/>
    <w:link w:val="Soggettocommento"/>
    <w:rsid w:val="00E704B2"/>
    <w:rPr>
      <w:rFonts w:ascii="Times New Roman" w:eastAsia="Times New Roman" w:hAnsi="Times New Roman" w:cs="Times New Roman"/>
      <w:b/>
      <w:bCs/>
      <w:sz w:val="20"/>
      <w:szCs w:val="20"/>
      <w:lang w:val="fr-FR" w:eastAsia="fr-FR"/>
    </w:rPr>
  </w:style>
  <w:style w:type="paragraph" w:customStyle="1" w:styleId="Default">
    <w:name w:val="Default"/>
    <w:rsid w:val="00E704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Lev1">
    <w:name w:val="Lev1"/>
    <w:basedOn w:val="Normale"/>
    <w:rsid w:val="00E704B2"/>
    <w:pPr>
      <w:tabs>
        <w:tab w:val="left" w:pos="720"/>
      </w:tabs>
      <w:spacing w:after="120" w:line="220" w:lineRule="exact"/>
      <w:ind w:left="432" w:hanging="432"/>
      <w:jc w:val="both"/>
    </w:pPr>
    <w:rPr>
      <w:rFonts w:eastAsia="Times New Roman" w:cs="Times New Roman"/>
      <w:sz w:val="20"/>
      <w:szCs w:val="20"/>
    </w:rPr>
  </w:style>
  <w:style w:type="paragraph" w:customStyle="1" w:styleId="CM1">
    <w:name w:val="CM1"/>
    <w:basedOn w:val="Default"/>
    <w:next w:val="Default"/>
    <w:uiPriority w:val="99"/>
    <w:rsid w:val="00E704B2"/>
    <w:rPr>
      <w:rFonts w:ascii="EUAlbertina" w:hAnsi="EUAlbertina"/>
      <w:color w:val="auto"/>
    </w:rPr>
  </w:style>
  <w:style w:type="paragraph" w:customStyle="1" w:styleId="CM3">
    <w:name w:val="CM3"/>
    <w:basedOn w:val="Default"/>
    <w:next w:val="Default"/>
    <w:uiPriority w:val="99"/>
    <w:rsid w:val="00E704B2"/>
    <w:rPr>
      <w:rFonts w:ascii="EUAlbertina" w:hAnsi="EUAlbertina"/>
      <w:color w:val="auto"/>
    </w:rPr>
  </w:style>
  <w:style w:type="paragraph" w:styleId="Paragrafoelenco">
    <w:name w:val="List Paragraph"/>
    <w:aliases w:val="Heading 2_sj,List Paragraph1,Számozott lista 1,LISTA,Listaszerű bekezdés1,Dot pt,No Spacing1,List Paragraph Char Char Char,Indicator Text,Numbered Para 1,List Paragraph à moi,Welt L Char,Welt L,Bullet List,FooterText,numbered,2"/>
    <w:basedOn w:val="Normale"/>
    <w:link w:val="ParagrafoelencoCarattere"/>
    <w:uiPriority w:val="34"/>
    <w:qFormat/>
    <w:rsid w:val="00E704B2"/>
    <w:pPr>
      <w:ind w:left="720"/>
      <w:contextualSpacing/>
    </w:pPr>
    <w:rPr>
      <w:rFonts w:ascii="Calibri" w:eastAsia="Times New Roman" w:hAnsi="Calibri" w:cs="Times New Roman"/>
    </w:rPr>
  </w:style>
  <w:style w:type="character" w:customStyle="1" w:styleId="ParagrafoelencoCarattere">
    <w:name w:val="Paragrafo elenco Carattere"/>
    <w:aliases w:val="Heading 2_sj Carattere,List Paragraph1 Carattere,Számozott lista 1 Carattere,LISTA Carattere,Listaszerű bekezdés1 Carattere,Dot pt Carattere,No Spacing1 Carattere,List Paragraph Char Char Char Carattere,Welt L Char Carattere"/>
    <w:link w:val="Paragrafoelenco"/>
    <w:uiPriority w:val="34"/>
    <w:locked/>
    <w:rsid w:val="00E704B2"/>
    <w:rPr>
      <w:rFonts w:ascii="Calibri" w:eastAsia="Times New Roman" w:hAnsi="Calibri" w:cs="Times New Roman"/>
    </w:rPr>
  </w:style>
  <w:style w:type="paragraph" w:styleId="Puntoelenco">
    <w:name w:val="List Bullet"/>
    <w:basedOn w:val="Normale"/>
    <w:unhideWhenUsed/>
    <w:rsid w:val="00E704B2"/>
    <w:pPr>
      <w:numPr>
        <w:numId w:val="3"/>
      </w:numPr>
      <w:spacing w:before="120" w:after="120" w:line="240" w:lineRule="auto"/>
      <w:contextualSpacing/>
      <w:jc w:val="both"/>
    </w:pPr>
    <w:rPr>
      <w:rFonts w:cs="Times New Roman"/>
    </w:rPr>
  </w:style>
  <w:style w:type="paragraph" w:styleId="Numeroelenco">
    <w:name w:val="List Number"/>
    <w:basedOn w:val="Normale"/>
    <w:uiPriority w:val="99"/>
    <w:semiHidden/>
    <w:unhideWhenUsed/>
    <w:rsid w:val="00E704B2"/>
    <w:pPr>
      <w:numPr>
        <w:numId w:val="4"/>
      </w:numPr>
      <w:spacing w:before="120" w:after="120" w:line="240" w:lineRule="auto"/>
      <w:contextualSpacing/>
      <w:jc w:val="both"/>
    </w:pPr>
    <w:rPr>
      <w:rFonts w:cs="Times New Roman"/>
    </w:rPr>
  </w:style>
  <w:style w:type="paragraph" w:styleId="Numeroelenco2">
    <w:name w:val="List Number 2"/>
    <w:basedOn w:val="Normale"/>
    <w:uiPriority w:val="99"/>
    <w:semiHidden/>
    <w:unhideWhenUsed/>
    <w:rsid w:val="00E704B2"/>
    <w:pPr>
      <w:numPr>
        <w:numId w:val="5"/>
      </w:numPr>
      <w:spacing w:before="120" w:after="120" w:line="240" w:lineRule="auto"/>
      <w:contextualSpacing/>
      <w:jc w:val="both"/>
    </w:pPr>
    <w:rPr>
      <w:rFonts w:cs="Times New Roman"/>
    </w:rPr>
  </w:style>
  <w:style w:type="paragraph" w:styleId="Numeroelenco3">
    <w:name w:val="List Number 3"/>
    <w:basedOn w:val="Normale"/>
    <w:uiPriority w:val="99"/>
    <w:semiHidden/>
    <w:unhideWhenUsed/>
    <w:rsid w:val="00E704B2"/>
    <w:pPr>
      <w:numPr>
        <w:numId w:val="6"/>
      </w:numPr>
      <w:spacing w:before="120" w:after="120" w:line="240" w:lineRule="auto"/>
      <w:contextualSpacing/>
      <w:jc w:val="both"/>
    </w:pPr>
    <w:rPr>
      <w:rFonts w:cs="Times New Roman"/>
    </w:rPr>
  </w:style>
  <w:style w:type="paragraph" w:styleId="Numeroelenco4">
    <w:name w:val="List Number 4"/>
    <w:basedOn w:val="Normale"/>
    <w:uiPriority w:val="99"/>
    <w:semiHidden/>
    <w:unhideWhenUsed/>
    <w:rsid w:val="00E704B2"/>
    <w:pPr>
      <w:numPr>
        <w:numId w:val="7"/>
      </w:numPr>
      <w:spacing w:before="120" w:after="120" w:line="240" w:lineRule="auto"/>
      <w:contextualSpacing/>
      <w:jc w:val="both"/>
    </w:pPr>
    <w:rPr>
      <w:rFonts w:cs="Times New Roman"/>
    </w:rPr>
  </w:style>
  <w:style w:type="paragraph" w:customStyle="1" w:styleId="FootnoteTex">
    <w:name w:val="Footnote Tex"/>
    <w:basedOn w:val="Paragrafoelenco"/>
    <w:rsid w:val="00E704B2"/>
    <w:pPr>
      <w:spacing w:after="0"/>
      <w:ind w:left="0"/>
      <w:jc w:val="both"/>
    </w:pPr>
    <w:rPr>
      <w:rFonts w:ascii="Times New Roman" w:hAnsi="Times New Roman"/>
      <w:sz w:val="20"/>
      <w:szCs w:val="20"/>
    </w:rPr>
  </w:style>
  <w:style w:type="paragraph" w:styleId="Intestazione">
    <w:name w:val="header"/>
    <w:basedOn w:val="Normale"/>
    <w:link w:val="IntestazioneCarattere"/>
    <w:uiPriority w:val="99"/>
    <w:unhideWhenUsed/>
    <w:rsid w:val="00E704B2"/>
    <w:pPr>
      <w:tabs>
        <w:tab w:val="center" w:pos="4535"/>
        <w:tab w:val="right" w:pos="9071"/>
      </w:tabs>
      <w:spacing w:after="120" w:line="240" w:lineRule="auto"/>
      <w:jc w:val="both"/>
    </w:pPr>
    <w:rPr>
      <w:rFonts w:cs="Times New Roman"/>
    </w:rPr>
  </w:style>
  <w:style w:type="character" w:customStyle="1" w:styleId="IntestazioneCarattere">
    <w:name w:val="Intestazione Carattere"/>
    <w:basedOn w:val="Carpredefinitoparagrafo"/>
    <w:link w:val="Intestazione"/>
    <w:uiPriority w:val="99"/>
    <w:rsid w:val="00E704B2"/>
    <w:rPr>
      <w:rFonts w:ascii="Times New Roman" w:hAnsi="Times New Roman" w:cs="Times New Roman"/>
      <w:sz w:val="24"/>
      <w:lang w:val="fr-FR"/>
    </w:rPr>
  </w:style>
  <w:style w:type="paragraph" w:styleId="Pidipagina">
    <w:name w:val="footer"/>
    <w:basedOn w:val="Normale"/>
    <w:link w:val="PidipaginaCarattere"/>
    <w:uiPriority w:val="99"/>
    <w:unhideWhenUsed/>
    <w:rsid w:val="00E704B2"/>
    <w:pPr>
      <w:tabs>
        <w:tab w:val="center" w:pos="4535"/>
        <w:tab w:val="right" w:pos="9071"/>
        <w:tab w:val="right" w:pos="9921"/>
      </w:tabs>
      <w:spacing w:before="360" w:after="0" w:line="240" w:lineRule="auto"/>
      <w:ind w:left="-850" w:right="-850"/>
    </w:pPr>
    <w:rPr>
      <w:rFonts w:cs="Times New Roman"/>
    </w:rPr>
  </w:style>
  <w:style w:type="character" w:customStyle="1" w:styleId="PidipaginaCarattere">
    <w:name w:val="Piè di pagina Carattere"/>
    <w:basedOn w:val="Carpredefinitoparagrafo"/>
    <w:link w:val="Pidipagina"/>
    <w:uiPriority w:val="99"/>
    <w:rsid w:val="00E704B2"/>
    <w:rPr>
      <w:rFonts w:ascii="Times New Roman" w:hAnsi="Times New Roman" w:cs="Times New Roman"/>
      <w:sz w:val="24"/>
      <w:lang w:val="fr-FR"/>
    </w:rPr>
  </w:style>
  <w:style w:type="paragraph" w:styleId="Testonotaapidipagina">
    <w:name w:val="footnote text"/>
    <w:basedOn w:val="Normale"/>
    <w:link w:val="TestonotaapidipaginaCarattere"/>
    <w:uiPriority w:val="99"/>
    <w:semiHidden/>
    <w:unhideWhenUsed/>
    <w:rsid w:val="00E704B2"/>
    <w:pPr>
      <w:spacing w:after="0" w:line="240" w:lineRule="auto"/>
      <w:ind w:left="720" w:hanging="720"/>
      <w:jc w:val="both"/>
    </w:pPr>
    <w:rPr>
      <w:rFonts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E704B2"/>
    <w:rPr>
      <w:rFonts w:ascii="Times New Roman" w:hAnsi="Times New Roman" w:cs="Times New Roman"/>
      <w:sz w:val="20"/>
      <w:szCs w:val="20"/>
      <w:lang w:val="fr-FR"/>
    </w:rPr>
  </w:style>
  <w:style w:type="paragraph" w:styleId="Sommario1">
    <w:name w:val="toc 1"/>
    <w:basedOn w:val="Normale"/>
    <w:next w:val="Normale"/>
    <w:uiPriority w:val="39"/>
    <w:unhideWhenUsed/>
    <w:rsid w:val="00E704B2"/>
    <w:pPr>
      <w:tabs>
        <w:tab w:val="right" w:leader="dot" w:pos="9071"/>
      </w:tabs>
      <w:spacing w:before="60" w:after="120" w:line="240" w:lineRule="auto"/>
      <w:ind w:left="850" w:hanging="850"/>
    </w:pPr>
    <w:rPr>
      <w:rFonts w:cs="Times New Roman"/>
    </w:rPr>
  </w:style>
  <w:style w:type="paragraph" w:customStyle="1" w:styleId="HeaderLandscape">
    <w:name w:val="HeaderLandscape"/>
    <w:basedOn w:val="Normale"/>
    <w:rsid w:val="00E704B2"/>
    <w:pPr>
      <w:tabs>
        <w:tab w:val="center" w:pos="7285"/>
        <w:tab w:val="right" w:pos="14003"/>
      </w:tabs>
      <w:spacing w:after="120" w:line="240" w:lineRule="auto"/>
      <w:jc w:val="both"/>
    </w:pPr>
    <w:rPr>
      <w:rFonts w:cs="Times New Roman"/>
    </w:rPr>
  </w:style>
  <w:style w:type="paragraph" w:customStyle="1" w:styleId="FooterLandscape">
    <w:name w:val="FooterLandscape"/>
    <w:basedOn w:val="Normale"/>
    <w:rsid w:val="00E704B2"/>
    <w:pPr>
      <w:tabs>
        <w:tab w:val="center" w:pos="7285"/>
        <w:tab w:val="center" w:pos="10913"/>
        <w:tab w:val="right" w:pos="15137"/>
      </w:tabs>
      <w:spacing w:before="360" w:after="0" w:line="240" w:lineRule="auto"/>
      <w:ind w:left="-567" w:right="-567"/>
    </w:pPr>
    <w:rPr>
      <w:rFonts w:cs="Times New Roman"/>
    </w:rPr>
  </w:style>
  <w:style w:type="character" w:styleId="Rimandonotaapidipagina">
    <w:name w:val="footnote reference"/>
    <w:basedOn w:val="Carpredefinitoparagrafo"/>
    <w:uiPriority w:val="99"/>
    <w:semiHidden/>
    <w:unhideWhenUsed/>
    <w:rsid w:val="00E704B2"/>
    <w:rPr>
      <w:shd w:val="clear" w:color="auto" w:fill="auto"/>
      <w:vertAlign w:val="superscript"/>
    </w:rPr>
  </w:style>
  <w:style w:type="paragraph" w:customStyle="1" w:styleId="HeaderSensitivity">
    <w:name w:val="Header Sensitivity"/>
    <w:basedOn w:val="Normale"/>
    <w:rsid w:val="00E704B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cs="Times New Roman"/>
      <w:b/>
      <w:sz w:val="32"/>
    </w:rPr>
  </w:style>
  <w:style w:type="paragraph" w:customStyle="1" w:styleId="FooterSensitivity">
    <w:name w:val="Footer Sensitivity"/>
    <w:basedOn w:val="Normale"/>
    <w:rsid w:val="00E704B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cs="Times New Roman"/>
      <w:b/>
      <w:sz w:val="32"/>
    </w:rPr>
  </w:style>
  <w:style w:type="paragraph" w:customStyle="1" w:styleId="Text3">
    <w:name w:val="Text 3"/>
    <w:basedOn w:val="Normale"/>
    <w:rsid w:val="00E704B2"/>
    <w:pPr>
      <w:spacing w:before="120" w:after="120" w:line="240" w:lineRule="auto"/>
      <w:ind w:left="1984"/>
      <w:jc w:val="both"/>
    </w:pPr>
    <w:rPr>
      <w:rFonts w:cs="Times New Roman"/>
    </w:rPr>
  </w:style>
  <w:style w:type="paragraph" w:customStyle="1" w:styleId="Text4">
    <w:name w:val="Text 4"/>
    <w:basedOn w:val="Normale"/>
    <w:rsid w:val="00E704B2"/>
    <w:pPr>
      <w:spacing w:before="120" w:after="120" w:line="240" w:lineRule="auto"/>
      <w:ind w:left="2551"/>
      <w:jc w:val="both"/>
    </w:pPr>
    <w:rPr>
      <w:rFonts w:cs="Times New Roman"/>
    </w:rPr>
  </w:style>
  <w:style w:type="paragraph" w:customStyle="1" w:styleId="NormalCentered">
    <w:name w:val="Normal Centered"/>
    <w:basedOn w:val="Normale"/>
    <w:rsid w:val="00E704B2"/>
    <w:pPr>
      <w:spacing w:before="120" w:after="120" w:line="240" w:lineRule="auto"/>
      <w:jc w:val="center"/>
    </w:pPr>
    <w:rPr>
      <w:rFonts w:cs="Times New Roman"/>
    </w:rPr>
  </w:style>
  <w:style w:type="paragraph" w:customStyle="1" w:styleId="NormalLeft">
    <w:name w:val="Normal Left"/>
    <w:basedOn w:val="Normale"/>
    <w:rsid w:val="00E704B2"/>
    <w:pPr>
      <w:spacing w:before="120" w:after="120" w:line="240" w:lineRule="auto"/>
    </w:pPr>
    <w:rPr>
      <w:rFonts w:cs="Times New Roman"/>
    </w:rPr>
  </w:style>
  <w:style w:type="paragraph" w:customStyle="1" w:styleId="NormalRight">
    <w:name w:val="Normal Right"/>
    <w:basedOn w:val="Normale"/>
    <w:rsid w:val="00E704B2"/>
    <w:pPr>
      <w:spacing w:before="120" w:after="120" w:line="240" w:lineRule="auto"/>
      <w:jc w:val="right"/>
    </w:pPr>
    <w:rPr>
      <w:rFonts w:cs="Times New Roman"/>
    </w:rPr>
  </w:style>
  <w:style w:type="paragraph" w:customStyle="1" w:styleId="QuotedText">
    <w:name w:val="Quoted Text"/>
    <w:basedOn w:val="Normale"/>
    <w:rsid w:val="00E704B2"/>
    <w:pPr>
      <w:spacing w:before="120" w:after="120" w:line="240" w:lineRule="auto"/>
      <w:ind w:left="1417"/>
      <w:jc w:val="both"/>
    </w:pPr>
    <w:rPr>
      <w:rFonts w:cs="Times New Roman"/>
    </w:rPr>
  </w:style>
  <w:style w:type="paragraph" w:customStyle="1" w:styleId="Point0">
    <w:name w:val="Point 0"/>
    <w:basedOn w:val="Normale"/>
    <w:rsid w:val="00E704B2"/>
    <w:pPr>
      <w:spacing w:before="120" w:after="120" w:line="240" w:lineRule="auto"/>
      <w:ind w:left="850" w:hanging="850"/>
      <w:jc w:val="both"/>
    </w:pPr>
    <w:rPr>
      <w:rFonts w:cs="Times New Roman"/>
    </w:rPr>
  </w:style>
  <w:style w:type="paragraph" w:customStyle="1" w:styleId="Point1">
    <w:name w:val="Point 1"/>
    <w:basedOn w:val="Normale"/>
    <w:rsid w:val="00E704B2"/>
    <w:pPr>
      <w:spacing w:before="120" w:after="120" w:line="240" w:lineRule="auto"/>
      <w:ind w:left="1417" w:hanging="567"/>
      <w:jc w:val="both"/>
    </w:pPr>
    <w:rPr>
      <w:rFonts w:cs="Times New Roman"/>
    </w:rPr>
  </w:style>
  <w:style w:type="paragraph" w:customStyle="1" w:styleId="Point2">
    <w:name w:val="Point 2"/>
    <w:basedOn w:val="Normale"/>
    <w:rsid w:val="00E704B2"/>
    <w:pPr>
      <w:spacing w:before="120" w:after="120" w:line="240" w:lineRule="auto"/>
      <w:ind w:left="1984" w:hanging="567"/>
      <w:jc w:val="both"/>
    </w:pPr>
    <w:rPr>
      <w:rFonts w:cs="Times New Roman"/>
    </w:rPr>
  </w:style>
  <w:style w:type="paragraph" w:customStyle="1" w:styleId="Point3">
    <w:name w:val="Point 3"/>
    <w:basedOn w:val="Normale"/>
    <w:rsid w:val="00E704B2"/>
    <w:pPr>
      <w:spacing w:before="120" w:after="120" w:line="240" w:lineRule="auto"/>
      <w:ind w:left="2551" w:hanging="567"/>
      <w:jc w:val="both"/>
    </w:pPr>
    <w:rPr>
      <w:rFonts w:cs="Times New Roman"/>
    </w:rPr>
  </w:style>
  <w:style w:type="paragraph" w:customStyle="1" w:styleId="Point4">
    <w:name w:val="Point 4"/>
    <w:basedOn w:val="Normale"/>
    <w:rsid w:val="00E704B2"/>
    <w:pPr>
      <w:spacing w:before="120" w:after="120" w:line="240" w:lineRule="auto"/>
      <w:ind w:left="3118" w:hanging="567"/>
      <w:jc w:val="both"/>
    </w:pPr>
    <w:rPr>
      <w:rFonts w:cs="Times New Roman"/>
    </w:rPr>
  </w:style>
  <w:style w:type="paragraph" w:customStyle="1" w:styleId="Tiret0">
    <w:name w:val="Tiret 0"/>
    <w:basedOn w:val="Point0"/>
    <w:rsid w:val="00E704B2"/>
    <w:pPr>
      <w:numPr>
        <w:numId w:val="9"/>
      </w:numPr>
    </w:pPr>
  </w:style>
  <w:style w:type="paragraph" w:customStyle="1" w:styleId="Tiret1">
    <w:name w:val="Tiret 1"/>
    <w:basedOn w:val="Point1"/>
    <w:rsid w:val="00E704B2"/>
    <w:pPr>
      <w:numPr>
        <w:numId w:val="10"/>
      </w:numPr>
    </w:pPr>
  </w:style>
  <w:style w:type="paragraph" w:customStyle="1" w:styleId="Tiret2">
    <w:name w:val="Tiret 2"/>
    <w:basedOn w:val="Point2"/>
    <w:rsid w:val="00E704B2"/>
    <w:pPr>
      <w:numPr>
        <w:numId w:val="11"/>
      </w:numPr>
    </w:pPr>
  </w:style>
  <w:style w:type="paragraph" w:customStyle="1" w:styleId="Tiret3">
    <w:name w:val="Tiret 3"/>
    <w:basedOn w:val="Point3"/>
    <w:rsid w:val="00E704B2"/>
    <w:pPr>
      <w:numPr>
        <w:numId w:val="12"/>
      </w:numPr>
    </w:pPr>
  </w:style>
  <w:style w:type="paragraph" w:customStyle="1" w:styleId="Tiret4">
    <w:name w:val="Tiret 4"/>
    <w:basedOn w:val="Point4"/>
    <w:rsid w:val="00E704B2"/>
    <w:pPr>
      <w:numPr>
        <w:numId w:val="13"/>
      </w:numPr>
    </w:pPr>
  </w:style>
  <w:style w:type="paragraph" w:customStyle="1" w:styleId="PointDouble0">
    <w:name w:val="PointDouble 0"/>
    <w:basedOn w:val="Normale"/>
    <w:rsid w:val="00E704B2"/>
    <w:pPr>
      <w:tabs>
        <w:tab w:val="left" w:pos="850"/>
      </w:tabs>
      <w:spacing w:before="120" w:after="120" w:line="240" w:lineRule="auto"/>
      <w:ind w:left="1417" w:hanging="1417"/>
      <w:jc w:val="both"/>
    </w:pPr>
    <w:rPr>
      <w:rFonts w:cs="Times New Roman"/>
    </w:rPr>
  </w:style>
  <w:style w:type="paragraph" w:customStyle="1" w:styleId="PointDouble1">
    <w:name w:val="PointDouble 1"/>
    <w:basedOn w:val="Normale"/>
    <w:rsid w:val="00E704B2"/>
    <w:pPr>
      <w:tabs>
        <w:tab w:val="left" w:pos="1417"/>
      </w:tabs>
      <w:spacing w:before="120" w:after="120" w:line="240" w:lineRule="auto"/>
      <w:ind w:left="1984" w:hanging="1134"/>
      <w:jc w:val="both"/>
    </w:pPr>
    <w:rPr>
      <w:rFonts w:cs="Times New Roman"/>
    </w:rPr>
  </w:style>
  <w:style w:type="paragraph" w:customStyle="1" w:styleId="PointDouble2">
    <w:name w:val="PointDouble 2"/>
    <w:basedOn w:val="Normale"/>
    <w:rsid w:val="00E704B2"/>
    <w:pPr>
      <w:tabs>
        <w:tab w:val="left" w:pos="1984"/>
      </w:tabs>
      <w:spacing w:before="120" w:after="120" w:line="240" w:lineRule="auto"/>
      <w:ind w:left="2551" w:hanging="1134"/>
      <w:jc w:val="both"/>
    </w:pPr>
    <w:rPr>
      <w:rFonts w:cs="Times New Roman"/>
    </w:rPr>
  </w:style>
  <w:style w:type="paragraph" w:customStyle="1" w:styleId="PointDouble3">
    <w:name w:val="PointDouble 3"/>
    <w:basedOn w:val="Normale"/>
    <w:rsid w:val="00E704B2"/>
    <w:pPr>
      <w:tabs>
        <w:tab w:val="left" w:pos="2551"/>
      </w:tabs>
      <w:spacing w:before="120" w:after="120" w:line="240" w:lineRule="auto"/>
      <w:ind w:left="3118" w:hanging="1134"/>
      <w:jc w:val="both"/>
    </w:pPr>
    <w:rPr>
      <w:rFonts w:cs="Times New Roman"/>
    </w:rPr>
  </w:style>
  <w:style w:type="paragraph" w:customStyle="1" w:styleId="PointDouble4">
    <w:name w:val="PointDouble 4"/>
    <w:basedOn w:val="Normale"/>
    <w:rsid w:val="00E704B2"/>
    <w:pPr>
      <w:tabs>
        <w:tab w:val="left" w:pos="3118"/>
      </w:tabs>
      <w:spacing w:before="120" w:after="120" w:line="240" w:lineRule="auto"/>
      <w:ind w:left="3685" w:hanging="1134"/>
      <w:jc w:val="both"/>
    </w:pPr>
    <w:rPr>
      <w:rFonts w:cs="Times New Roman"/>
    </w:rPr>
  </w:style>
  <w:style w:type="paragraph" w:customStyle="1" w:styleId="PointTriple0">
    <w:name w:val="PointTriple 0"/>
    <w:basedOn w:val="Normale"/>
    <w:rsid w:val="00E704B2"/>
    <w:pPr>
      <w:tabs>
        <w:tab w:val="left" w:pos="850"/>
        <w:tab w:val="left" w:pos="1417"/>
      </w:tabs>
      <w:spacing w:before="120" w:after="120" w:line="240" w:lineRule="auto"/>
      <w:ind w:left="1984" w:hanging="1984"/>
      <w:jc w:val="both"/>
    </w:pPr>
    <w:rPr>
      <w:rFonts w:cs="Times New Roman"/>
    </w:rPr>
  </w:style>
  <w:style w:type="paragraph" w:customStyle="1" w:styleId="PointTriple1">
    <w:name w:val="PointTriple 1"/>
    <w:basedOn w:val="Normale"/>
    <w:rsid w:val="00E704B2"/>
    <w:pPr>
      <w:tabs>
        <w:tab w:val="left" w:pos="1417"/>
        <w:tab w:val="left" w:pos="1984"/>
      </w:tabs>
      <w:spacing w:before="120" w:after="120" w:line="240" w:lineRule="auto"/>
      <w:ind w:left="2551" w:hanging="1701"/>
      <w:jc w:val="both"/>
    </w:pPr>
    <w:rPr>
      <w:rFonts w:cs="Times New Roman"/>
    </w:rPr>
  </w:style>
  <w:style w:type="paragraph" w:customStyle="1" w:styleId="PointTriple2">
    <w:name w:val="PointTriple 2"/>
    <w:basedOn w:val="Normale"/>
    <w:rsid w:val="00E704B2"/>
    <w:pPr>
      <w:tabs>
        <w:tab w:val="left" w:pos="1984"/>
        <w:tab w:val="left" w:pos="2551"/>
      </w:tabs>
      <w:spacing w:before="120" w:after="120" w:line="240" w:lineRule="auto"/>
      <w:ind w:left="3118" w:hanging="1701"/>
      <w:jc w:val="both"/>
    </w:pPr>
    <w:rPr>
      <w:rFonts w:cs="Times New Roman"/>
    </w:rPr>
  </w:style>
  <w:style w:type="paragraph" w:customStyle="1" w:styleId="PointTriple3">
    <w:name w:val="PointTriple 3"/>
    <w:basedOn w:val="Normale"/>
    <w:rsid w:val="00E704B2"/>
    <w:pPr>
      <w:tabs>
        <w:tab w:val="left" w:pos="2551"/>
        <w:tab w:val="left" w:pos="3118"/>
      </w:tabs>
      <w:spacing w:before="120" w:after="120" w:line="240" w:lineRule="auto"/>
      <w:ind w:left="3685" w:hanging="1701"/>
      <w:jc w:val="both"/>
    </w:pPr>
    <w:rPr>
      <w:rFonts w:cs="Times New Roman"/>
    </w:rPr>
  </w:style>
  <w:style w:type="paragraph" w:customStyle="1" w:styleId="PointTriple4">
    <w:name w:val="PointTriple 4"/>
    <w:basedOn w:val="Normale"/>
    <w:rsid w:val="00E704B2"/>
    <w:pPr>
      <w:tabs>
        <w:tab w:val="left" w:pos="3118"/>
        <w:tab w:val="left" w:pos="3685"/>
      </w:tabs>
      <w:spacing w:before="120" w:after="120" w:line="240" w:lineRule="auto"/>
      <w:ind w:left="4252" w:hanging="1701"/>
      <w:jc w:val="both"/>
    </w:pPr>
    <w:rPr>
      <w:rFonts w:cs="Times New Roman"/>
    </w:rPr>
  </w:style>
  <w:style w:type="paragraph" w:customStyle="1" w:styleId="NumPar1">
    <w:name w:val="NumPar 1"/>
    <w:basedOn w:val="Normale"/>
    <w:next w:val="Text1"/>
    <w:rsid w:val="00E704B2"/>
    <w:pPr>
      <w:numPr>
        <w:numId w:val="14"/>
      </w:numPr>
      <w:spacing w:before="120" w:after="120" w:line="240" w:lineRule="auto"/>
      <w:jc w:val="both"/>
    </w:pPr>
    <w:rPr>
      <w:rFonts w:cs="Times New Roman"/>
    </w:rPr>
  </w:style>
  <w:style w:type="paragraph" w:customStyle="1" w:styleId="NumPar2">
    <w:name w:val="NumPar 2"/>
    <w:basedOn w:val="Normale"/>
    <w:next w:val="Text1"/>
    <w:rsid w:val="00E704B2"/>
    <w:pPr>
      <w:numPr>
        <w:ilvl w:val="1"/>
        <w:numId w:val="14"/>
      </w:numPr>
      <w:spacing w:before="120" w:after="120" w:line="240" w:lineRule="auto"/>
      <w:jc w:val="both"/>
    </w:pPr>
    <w:rPr>
      <w:rFonts w:cs="Times New Roman"/>
    </w:rPr>
  </w:style>
  <w:style w:type="paragraph" w:customStyle="1" w:styleId="NumPar3">
    <w:name w:val="NumPar 3"/>
    <w:basedOn w:val="Normale"/>
    <w:next w:val="Text1"/>
    <w:rsid w:val="00E704B2"/>
    <w:pPr>
      <w:numPr>
        <w:ilvl w:val="2"/>
        <w:numId w:val="14"/>
      </w:numPr>
      <w:spacing w:before="120" w:after="120" w:line="240" w:lineRule="auto"/>
      <w:jc w:val="both"/>
    </w:pPr>
    <w:rPr>
      <w:rFonts w:cs="Times New Roman"/>
    </w:rPr>
  </w:style>
  <w:style w:type="paragraph" w:customStyle="1" w:styleId="NumPar4">
    <w:name w:val="NumPar 4"/>
    <w:basedOn w:val="Normale"/>
    <w:next w:val="Text1"/>
    <w:rsid w:val="00E704B2"/>
    <w:pPr>
      <w:numPr>
        <w:ilvl w:val="3"/>
        <w:numId w:val="14"/>
      </w:numPr>
      <w:spacing w:before="120" w:after="120" w:line="240" w:lineRule="auto"/>
      <w:jc w:val="both"/>
    </w:pPr>
    <w:rPr>
      <w:rFonts w:cs="Times New Roman"/>
    </w:rPr>
  </w:style>
  <w:style w:type="paragraph" w:customStyle="1" w:styleId="ManualNumPar1">
    <w:name w:val="Manual NumPar 1"/>
    <w:basedOn w:val="Normale"/>
    <w:next w:val="Text1"/>
    <w:rsid w:val="00E704B2"/>
    <w:pPr>
      <w:spacing w:before="120" w:after="120" w:line="240" w:lineRule="auto"/>
      <w:ind w:left="850" w:hanging="850"/>
      <w:jc w:val="both"/>
    </w:pPr>
    <w:rPr>
      <w:rFonts w:cs="Times New Roman"/>
    </w:rPr>
  </w:style>
  <w:style w:type="paragraph" w:customStyle="1" w:styleId="ManualNumPar2">
    <w:name w:val="Manual NumPar 2"/>
    <w:basedOn w:val="Normale"/>
    <w:next w:val="Text1"/>
    <w:rsid w:val="00E704B2"/>
    <w:pPr>
      <w:spacing w:before="120" w:after="120" w:line="240" w:lineRule="auto"/>
      <w:ind w:left="850" w:hanging="850"/>
      <w:jc w:val="both"/>
    </w:pPr>
    <w:rPr>
      <w:rFonts w:cs="Times New Roman"/>
    </w:rPr>
  </w:style>
  <w:style w:type="paragraph" w:customStyle="1" w:styleId="ManualNumPar3">
    <w:name w:val="Manual NumPar 3"/>
    <w:basedOn w:val="Normale"/>
    <w:next w:val="Text1"/>
    <w:rsid w:val="00E704B2"/>
    <w:pPr>
      <w:spacing w:before="120" w:after="120" w:line="240" w:lineRule="auto"/>
      <w:ind w:left="850" w:hanging="850"/>
      <w:jc w:val="both"/>
    </w:pPr>
    <w:rPr>
      <w:rFonts w:cs="Times New Roman"/>
    </w:rPr>
  </w:style>
  <w:style w:type="paragraph" w:customStyle="1" w:styleId="ManualNumPar4">
    <w:name w:val="Manual NumPar 4"/>
    <w:basedOn w:val="Normale"/>
    <w:next w:val="Text1"/>
    <w:rsid w:val="00E704B2"/>
    <w:pPr>
      <w:spacing w:before="120" w:after="120" w:line="240" w:lineRule="auto"/>
      <w:ind w:left="850" w:hanging="850"/>
      <w:jc w:val="both"/>
    </w:pPr>
    <w:rPr>
      <w:rFonts w:cs="Times New Roman"/>
    </w:rPr>
  </w:style>
  <w:style w:type="paragraph" w:customStyle="1" w:styleId="QuotedNumPar">
    <w:name w:val="Quoted NumPar"/>
    <w:basedOn w:val="Normale"/>
    <w:rsid w:val="00E704B2"/>
    <w:pPr>
      <w:spacing w:before="120" w:after="120" w:line="240" w:lineRule="auto"/>
      <w:ind w:left="1417" w:hanging="567"/>
      <w:jc w:val="both"/>
    </w:pPr>
    <w:rPr>
      <w:rFonts w:cs="Times New Roman"/>
    </w:rPr>
  </w:style>
  <w:style w:type="paragraph" w:customStyle="1" w:styleId="ManualHeading1">
    <w:name w:val="Manual Heading 1"/>
    <w:basedOn w:val="Normale"/>
    <w:next w:val="Text1"/>
    <w:rsid w:val="00E704B2"/>
    <w:pPr>
      <w:keepNext/>
      <w:tabs>
        <w:tab w:val="left" w:pos="850"/>
      </w:tabs>
      <w:spacing w:before="360" w:after="120" w:line="240" w:lineRule="auto"/>
      <w:ind w:left="850" w:hanging="850"/>
      <w:jc w:val="both"/>
      <w:outlineLvl w:val="0"/>
    </w:pPr>
    <w:rPr>
      <w:rFonts w:cs="Times New Roman"/>
      <w:b/>
      <w:smallCaps/>
    </w:rPr>
  </w:style>
  <w:style w:type="paragraph" w:customStyle="1" w:styleId="ManualHeading2">
    <w:name w:val="Manual Heading 2"/>
    <w:basedOn w:val="Normale"/>
    <w:next w:val="Text1"/>
    <w:rsid w:val="00E704B2"/>
    <w:pPr>
      <w:keepNext/>
      <w:tabs>
        <w:tab w:val="left" w:pos="850"/>
      </w:tabs>
      <w:spacing w:before="120" w:after="120" w:line="240" w:lineRule="auto"/>
      <w:ind w:left="850" w:hanging="850"/>
      <w:jc w:val="both"/>
      <w:outlineLvl w:val="1"/>
    </w:pPr>
    <w:rPr>
      <w:rFonts w:cs="Times New Roman"/>
      <w:b/>
    </w:rPr>
  </w:style>
  <w:style w:type="paragraph" w:customStyle="1" w:styleId="ManualHeading3">
    <w:name w:val="Manual Heading 3"/>
    <w:basedOn w:val="Normale"/>
    <w:next w:val="Text1"/>
    <w:rsid w:val="00E704B2"/>
    <w:pPr>
      <w:keepNext/>
      <w:tabs>
        <w:tab w:val="left" w:pos="850"/>
      </w:tabs>
      <w:spacing w:before="120" w:after="120" w:line="240" w:lineRule="auto"/>
      <w:ind w:left="850" w:hanging="850"/>
      <w:jc w:val="both"/>
      <w:outlineLvl w:val="2"/>
    </w:pPr>
    <w:rPr>
      <w:rFonts w:cs="Times New Roman"/>
      <w:i/>
    </w:rPr>
  </w:style>
  <w:style w:type="paragraph" w:customStyle="1" w:styleId="ManualHeading4">
    <w:name w:val="Manual Heading 4"/>
    <w:basedOn w:val="Normale"/>
    <w:next w:val="Text1"/>
    <w:rsid w:val="00E704B2"/>
    <w:pPr>
      <w:keepNext/>
      <w:tabs>
        <w:tab w:val="left" w:pos="850"/>
      </w:tabs>
      <w:spacing w:before="120" w:after="120" w:line="240" w:lineRule="auto"/>
      <w:ind w:left="850" w:hanging="850"/>
      <w:jc w:val="both"/>
      <w:outlineLvl w:val="3"/>
    </w:pPr>
    <w:rPr>
      <w:rFonts w:cs="Times New Roman"/>
    </w:rPr>
  </w:style>
  <w:style w:type="paragraph" w:customStyle="1" w:styleId="ChapterTitle">
    <w:name w:val="ChapterTitle"/>
    <w:basedOn w:val="Normale"/>
    <w:next w:val="Normale"/>
    <w:rsid w:val="00E704B2"/>
    <w:pPr>
      <w:keepNext/>
      <w:spacing w:before="120" w:after="360" w:line="240" w:lineRule="auto"/>
      <w:jc w:val="center"/>
    </w:pPr>
    <w:rPr>
      <w:rFonts w:cs="Times New Roman"/>
      <w:b/>
      <w:sz w:val="32"/>
    </w:rPr>
  </w:style>
  <w:style w:type="paragraph" w:customStyle="1" w:styleId="PartTitle">
    <w:name w:val="PartTitle"/>
    <w:basedOn w:val="Normale"/>
    <w:next w:val="ChapterTitle"/>
    <w:rsid w:val="00E704B2"/>
    <w:pPr>
      <w:keepNext/>
      <w:pageBreakBefore/>
      <w:spacing w:before="120" w:after="360" w:line="240" w:lineRule="auto"/>
      <w:jc w:val="center"/>
    </w:pPr>
    <w:rPr>
      <w:rFonts w:cs="Times New Roman"/>
      <w:b/>
      <w:sz w:val="36"/>
    </w:rPr>
  </w:style>
  <w:style w:type="paragraph" w:customStyle="1" w:styleId="SectionTitle">
    <w:name w:val="SectionTitle"/>
    <w:basedOn w:val="Normale"/>
    <w:next w:val="Titolo1"/>
    <w:rsid w:val="00E704B2"/>
    <w:pPr>
      <w:keepNext/>
      <w:spacing w:before="120" w:after="360" w:line="240" w:lineRule="auto"/>
      <w:jc w:val="center"/>
    </w:pPr>
    <w:rPr>
      <w:rFonts w:cs="Times New Roman"/>
      <w:b/>
      <w:smallCaps/>
      <w:sz w:val="28"/>
    </w:rPr>
  </w:style>
  <w:style w:type="paragraph" w:customStyle="1" w:styleId="TableTitle">
    <w:name w:val="Table Title"/>
    <w:basedOn w:val="Normale"/>
    <w:next w:val="Normale"/>
    <w:rsid w:val="00E704B2"/>
    <w:pPr>
      <w:spacing w:before="120" w:after="120" w:line="240" w:lineRule="auto"/>
      <w:jc w:val="center"/>
    </w:pPr>
    <w:rPr>
      <w:rFonts w:cs="Times New Roman"/>
      <w:b/>
    </w:rPr>
  </w:style>
  <w:style w:type="character" w:customStyle="1" w:styleId="Marker">
    <w:name w:val="Marker"/>
    <w:basedOn w:val="Carpredefinitoparagrafo"/>
    <w:rsid w:val="00E704B2"/>
    <w:rPr>
      <w:color w:val="0000FF"/>
      <w:shd w:val="clear" w:color="auto" w:fill="auto"/>
    </w:rPr>
  </w:style>
  <w:style w:type="character" w:customStyle="1" w:styleId="Marker1">
    <w:name w:val="Marker1"/>
    <w:basedOn w:val="Carpredefinitoparagrafo"/>
    <w:rsid w:val="00E704B2"/>
    <w:rPr>
      <w:color w:val="008000"/>
      <w:shd w:val="clear" w:color="auto" w:fill="auto"/>
    </w:rPr>
  </w:style>
  <w:style w:type="character" w:customStyle="1" w:styleId="Marker2">
    <w:name w:val="Marker2"/>
    <w:basedOn w:val="Carpredefinitoparagrafo"/>
    <w:rsid w:val="00E704B2"/>
    <w:rPr>
      <w:color w:val="FF0000"/>
      <w:shd w:val="clear" w:color="auto" w:fill="auto"/>
    </w:rPr>
  </w:style>
  <w:style w:type="paragraph" w:customStyle="1" w:styleId="Point0number">
    <w:name w:val="Point 0 (number)"/>
    <w:basedOn w:val="Normale"/>
    <w:rsid w:val="00E704B2"/>
    <w:pPr>
      <w:numPr>
        <w:numId w:val="16"/>
      </w:numPr>
      <w:spacing w:before="120" w:after="120" w:line="240" w:lineRule="auto"/>
      <w:jc w:val="both"/>
    </w:pPr>
    <w:rPr>
      <w:rFonts w:cs="Times New Roman"/>
    </w:rPr>
  </w:style>
  <w:style w:type="paragraph" w:customStyle="1" w:styleId="Point1number">
    <w:name w:val="Point 1 (number)"/>
    <w:basedOn w:val="Normale"/>
    <w:rsid w:val="00E704B2"/>
    <w:pPr>
      <w:numPr>
        <w:ilvl w:val="2"/>
        <w:numId w:val="16"/>
      </w:numPr>
      <w:spacing w:before="120" w:after="120" w:line="240" w:lineRule="auto"/>
      <w:jc w:val="both"/>
    </w:pPr>
    <w:rPr>
      <w:rFonts w:cs="Times New Roman"/>
    </w:rPr>
  </w:style>
  <w:style w:type="paragraph" w:customStyle="1" w:styleId="Point2number">
    <w:name w:val="Point 2 (number)"/>
    <w:basedOn w:val="Normale"/>
    <w:rsid w:val="00E704B2"/>
    <w:pPr>
      <w:numPr>
        <w:ilvl w:val="4"/>
        <w:numId w:val="16"/>
      </w:numPr>
      <w:spacing w:before="120" w:after="120" w:line="240" w:lineRule="auto"/>
      <w:jc w:val="both"/>
    </w:pPr>
    <w:rPr>
      <w:rFonts w:cs="Times New Roman"/>
    </w:rPr>
  </w:style>
  <w:style w:type="paragraph" w:customStyle="1" w:styleId="Point3number">
    <w:name w:val="Point 3 (number)"/>
    <w:basedOn w:val="Normale"/>
    <w:rsid w:val="00E704B2"/>
    <w:pPr>
      <w:numPr>
        <w:ilvl w:val="6"/>
        <w:numId w:val="16"/>
      </w:numPr>
      <w:spacing w:before="120" w:after="120" w:line="240" w:lineRule="auto"/>
      <w:jc w:val="both"/>
    </w:pPr>
    <w:rPr>
      <w:rFonts w:cs="Times New Roman"/>
    </w:rPr>
  </w:style>
  <w:style w:type="paragraph" w:customStyle="1" w:styleId="Point0letter">
    <w:name w:val="Point 0 (letter)"/>
    <w:basedOn w:val="Normale"/>
    <w:rsid w:val="00E704B2"/>
    <w:pPr>
      <w:numPr>
        <w:ilvl w:val="1"/>
        <w:numId w:val="16"/>
      </w:numPr>
      <w:spacing w:before="120" w:after="120" w:line="240" w:lineRule="auto"/>
      <w:jc w:val="both"/>
    </w:pPr>
    <w:rPr>
      <w:rFonts w:cs="Times New Roman"/>
    </w:rPr>
  </w:style>
  <w:style w:type="paragraph" w:customStyle="1" w:styleId="Point1letter">
    <w:name w:val="Point 1 (letter)"/>
    <w:basedOn w:val="Normale"/>
    <w:rsid w:val="00E704B2"/>
    <w:pPr>
      <w:numPr>
        <w:ilvl w:val="3"/>
        <w:numId w:val="16"/>
      </w:numPr>
      <w:spacing w:before="120" w:after="120" w:line="240" w:lineRule="auto"/>
      <w:jc w:val="both"/>
    </w:pPr>
    <w:rPr>
      <w:rFonts w:cs="Times New Roman"/>
    </w:rPr>
  </w:style>
  <w:style w:type="paragraph" w:customStyle="1" w:styleId="Point2letter">
    <w:name w:val="Point 2 (letter)"/>
    <w:basedOn w:val="Normale"/>
    <w:rsid w:val="00E704B2"/>
    <w:pPr>
      <w:numPr>
        <w:ilvl w:val="5"/>
        <w:numId w:val="16"/>
      </w:numPr>
      <w:spacing w:before="120" w:after="120" w:line="240" w:lineRule="auto"/>
      <w:jc w:val="both"/>
    </w:pPr>
    <w:rPr>
      <w:rFonts w:cs="Times New Roman"/>
    </w:rPr>
  </w:style>
  <w:style w:type="paragraph" w:customStyle="1" w:styleId="Point3letter">
    <w:name w:val="Point 3 (letter)"/>
    <w:basedOn w:val="Normale"/>
    <w:rsid w:val="00E704B2"/>
    <w:pPr>
      <w:numPr>
        <w:ilvl w:val="7"/>
        <w:numId w:val="16"/>
      </w:numPr>
      <w:spacing w:before="120" w:after="120" w:line="240" w:lineRule="auto"/>
      <w:jc w:val="both"/>
    </w:pPr>
    <w:rPr>
      <w:rFonts w:cs="Times New Roman"/>
    </w:rPr>
  </w:style>
  <w:style w:type="paragraph" w:customStyle="1" w:styleId="Point4letter">
    <w:name w:val="Point 4 (letter)"/>
    <w:basedOn w:val="Normale"/>
    <w:rsid w:val="00E704B2"/>
    <w:pPr>
      <w:numPr>
        <w:ilvl w:val="8"/>
        <w:numId w:val="16"/>
      </w:numPr>
      <w:spacing w:before="120" w:after="120" w:line="240" w:lineRule="auto"/>
      <w:jc w:val="both"/>
    </w:pPr>
    <w:rPr>
      <w:rFonts w:cs="Times New Roman"/>
    </w:rPr>
  </w:style>
  <w:style w:type="paragraph" w:customStyle="1" w:styleId="Bullet0">
    <w:name w:val="Bullet 0"/>
    <w:basedOn w:val="Normale"/>
    <w:rsid w:val="00E704B2"/>
    <w:pPr>
      <w:numPr>
        <w:numId w:val="17"/>
      </w:numPr>
      <w:spacing w:before="120" w:after="120" w:line="240" w:lineRule="auto"/>
      <w:jc w:val="both"/>
    </w:pPr>
    <w:rPr>
      <w:rFonts w:cs="Times New Roman"/>
    </w:rPr>
  </w:style>
  <w:style w:type="paragraph" w:customStyle="1" w:styleId="Bullet1">
    <w:name w:val="Bullet 1"/>
    <w:basedOn w:val="Normale"/>
    <w:rsid w:val="00E704B2"/>
    <w:pPr>
      <w:numPr>
        <w:numId w:val="8"/>
      </w:numPr>
      <w:spacing w:before="120" w:after="120" w:line="240" w:lineRule="auto"/>
      <w:jc w:val="both"/>
    </w:pPr>
    <w:rPr>
      <w:rFonts w:cs="Times New Roman"/>
    </w:rPr>
  </w:style>
  <w:style w:type="paragraph" w:customStyle="1" w:styleId="Bullet2">
    <w:name w:val="Bullet 2"/>
    <w:basedOn w:val="Normale"/>
    <w:rsid w:val="00E704B2"/>
    <w:pPr>
      <w:numPr>
        <w:numId w:val="18"/>
      </w:numPr>
      <w:spacing w:before="120" w:after="120" w:line="240" w:lineRule="auto"/>
      <w:jc w:val="both"/>
    </w:pPr>
    <w:rPr>
      <w:rFonts w:cs="Times New Roman"/>
    </w:rPr>
  </w:style>
  <w:style w:type="paragraph" w:customStyle="1" w:styleId="Bullet3">
    <w:name w:val="Bullet 3"/>
    <w:basedOn w:val="Normale"/>
    <w:rsid w:val="00E704B2"/>
    <w:pPr>
      <w:numPr>
        <w:numId w:val="19"/>
      </w:numPr>
      <w:spacing w:before="120" w:after="120" w:line="240" w:lineRule="auto"/>
      <w:jc w:val="both"/>
    </w:pPr>
    <w:rPr>
      <w:rFonts w:cs="Times New Roman"/>
    </w:rPr>
  </w:style>
  <w:style w:type="paragraph" w:customStyle="1" w:styleId="Bullet4">
    <w:name w:val="Bullet 4"/>
    <w:basedOn w:val="Normale"/>
    <w:rsid w:val="00E704B2"/>
    <w:pPr>
      <w:numPr>
        <w:numId w:val="20"/>
      </w:numPr>
      <w:spacing w:before="120" w:after="120" w:line="240" w:lineRule="auto"/>
      <w:jc w:val="both"/>
    </w:pPr>
    <w:rPr>
      <w:rFonts w:cs="Times New Roman"/>
    </w:rPr>
  </w:style>
  <w:style w:type="paragraph" w:customStyle="1" w:styleId="Langue">
    <w:name w:val="Langue"/>
    <w:basedOn w:val="Normale"/>
    <w:next w:val="Rfrenceinterne"/>
    <w:rsid w:val="00E704B2"/>
    <w:pPr>
      <w:framePr w:wrap="around" w:vAnchor="page" w:hAnchor="text" w:xAlign="center" w:y="14741"/>
      <w:spacing w:after="600" w:line="240" w:lineRule="auto"/>
      <w:jc w:val="center"/>
    </w:pPr>
    <w:rPr>
      <w:rFonts w:cs="Times New Roman"/>
      <w:b/>
      <w:caps/>
    </w:rPr>
  </w:style>
  <w:style w:type="paragraph" w:customStyle="1" w:styleId="Rfrenceinterne">
    <w:name w:val="Référence interne"/>
    <w:basedOn w:val="Normale"/>
    <w:next w:val="Rfrenceinterinstitutionnelle"/>
    <w:rsid w:val="00E704B2"/>
    <w:pPr>
      <w:spacing w:after="0" w:line="240" w:lineRule="auto"/>
      <w:ind w:left="5103"/>
    </w:pPr>
    <w:rPr>
      <w:rFonts w:cs="Times New Roman"/>
    </w:rPr>
  </w:style>
  <w:style w:type="paragraph" w:customStyle="1" w:styleId="Rfrenceinterinstitutionnelle">
    <w:name w:val="Référence interinstitutionnelle"/>
    <w:basedOn w:val="Normale"/>
    <w:next w:val="Statut"/>
    <w:rsid w:val="00E704B2"/>
    <w:pPr>
      <w:spacing w:after="0" w:line="240" w:lineRule="auto"/>
      <w:ind w:left="5103"/>
    </w:pPr>
    <w:rPr>
      <w:rFonts w:cs="Times New Roman"/>
    </w:rPr>
  </w:style>
  <w:style w:type="paragraph" w:customStyle="1" w:styleId="Statut">
    <w:name w:val="Statut"/>
    <w:basedOn w:val="Normale"/>
    <w:next w:val="Typedudocument"/>
    <w:rsid w:val="00E704B2"/>
    <w:pPr>
      <w:spacing w:after="240" w:line="240" w:lineRule="auto"/>
      <w:jc w:val="center"/>
    </w:pPr>
    <w:rPr>
      <w:rFonts w:cs="Times New Roman"/>
    </w:rPr>
  </w:style>
  <w:style w:type="paragraph" w:customStyle="1" w:styleId="Typedudocument">
    <w:name w:val="Type du document"/>
    <w:basedOn w:val="Normale"/>
    <w:next w:val="Accompagnant"/>
    <w:rsid w:val="00E704B2"/>
    <w:pPr>
      <w:spacing w:before="360" w:after="180" w:line="240" w:lineRule="auto"/>
      <w:jc w:val="center"/>
    </w:pPr>
    <w:rPr>
      <w:rFonts w:cs="Times New Roman"/>
      <w:b/>
    </w:rPr>
  </w:style>
  <w:style w:type="paragraph" w:customStyle="1" w:styleId="Accompagnant">
    <w:name w:val="Accompagnant"/>
    <w:basedOn w:val="Normale"/>
    <w:next w:val="Typeacteprincipal"/>
    <w:rsid w:val="00E704B2"/>
    <w:pPr>
      <w:spacing w:before="180" w:after="240" w:line="240" w:lineRule="auto"/>
      <w:jc w:val="center"/>
    </w:pPr>
    <w:rPr>
      <w:rFonts w:cs="Times New Roman"/>
      <w:b/>
    </w:rPr>
  </w:style>
  <w:style w:type="paragraph" w:customStyle="1" w:styleId="Typeacteprincipal">
    <w:name w:val="Type acte principal"/>
    <w:basedOn w:val="Normale"/>
    <w:next w:val="Objetacteprincipal"/>
    <w:rsid w:val="00E704B2"/>
    <w:pPr>
      <w:spacing w:after="240" w:line="240" w:lineRule="auto"/>
      <w:jc w:val="center"/>
    </w:pPr>
    <w:rPr>
      <w:rFonts w:cs="Times New Roman"/>
      <w:b/>
    </w:rPr>
  </w:style>
  <w:style w:type="paragraph" w:customStyle="1" w:styleId="Objetacteprincipal">
    <w:name w:val="Objet acte principal"/>
    <w:basedOn w:val="Normale"/>
    <w:next w:val="Titrearticle"/>
    <w:rsid w:val="00E704B2"/>
    <w:pPr>
      <w:spacing w:after="360" w:line="240" w:lineRule="auto"/>
      <w:jc w:val="center"/>
    </w:pPr>
    <w:rPr>
      <w:rFonts w:cs="Times New Roman"/>
      <w:b/>
    </w:rPr>
  </w:style>
  <w:style w:type="paragraph" w:customStyle="1" w:styleId="Titrearticle">
    <w:name w:val="Titre article"/>
    <w:basedOn w:val="Normale"/>
    <w:next w:val="Normale"/>
    <w:rsid w:val="00E704B2"/>
    <w:pPr>
      <w:keepNext/>
      <w:spacing w:before="360" w:after="120" w:line="240" w:lineRule="auto"/>
      <w:jc w:val="center"/>
    </w:pPr>
    <w:rPr>
      <w:rFonts w:cs="Times New Roman"/>
      <w:i/>
    </w:rPr>
  </w:style>
  <w:style w:type="paragraph" w:customStyle="1" w:styleId="Nomdelinstitution">
    <w:name w:val="Nom de l'institution"/>
    <w:basedOn w:val="Normale"/>
    <w:next w:val="Emission"/>
    <w:rsid w:val="00E704B2"/>
    <w:pPr>
      <w:spacing w:after="0" w:line="240" w:lineRule="auto"/>
    </w:pPr>
    <w:rPr>
      <w:rFonts w:ascii="Arial" w:hAnsi="Arial" w:cs="Arial"/>
    </w:rPr>
  </w:style>
  <w:style w:type="paragraph" w:customStyle="1" w:styleId="Emission">
    <w:name w:val="Emission"/>
    <w:basedOn w:val="Normale"/>
    <w:next w:val="Rfrenceinstitutionnelle"/>
    <w:rsid w:val="00E704B2"/>
    <w:pPr>
      <w:spacing w:after="0" w:line="240" w:lineRule="auto"/>
      <w:ind w:left="5103"/>
    </w:pPr>
    <w:rPr>
      <w:rFonts w:cs="Times New Roman"/>
    </w:rPr>
  </w:style>
  <w:style w:type="paragraph" w:customStyle="1" w:styleId="Rfrenceinstitutionnelle">
    <w:name w:val="Référence institutionnelle"/>
    <w:basedOn w:val="Normale"/>
    <w:next w:val="Confidentialit"/>
    <w:rsid w:val="00E704B2"/>
    <w:pPr>
      <w:spacing w:after="240" w:line="240" w:lineRule="auto"/>
      <w:ind w:left="5103"/>
    </w:pPr>
    <w:rPr>
      <w:rFonts w:cs="Times New Roman"/>
    </w:rPr>
  </w:style>
  <w:style w:type="paragraph" w:customStyle="1" w:styleId="Confidentialit">
    <w:name w:val="Confidentialité"/>
    <w:basedOn w:val="Normale"/>
    <w:next w:val="TypedudocumentPagedecouverture"/>
    <w:rsid w:val="00E704B2"/>
    <w:pPr>
      <w:spacing w:before="240" w:after="240" w:line="240" w:lineRule="auto"/>
      <w:ind w:left="5103"/>
    </w:pPr>
    <w:rPr>
      <w:rFonts w:cs="Times New Roman"/>
      <w:i/>
      <w:sz w:val="32"/>
    </w:rPr>
  </w:style>
  <w:style w:type="paragraph" w:customStyle="1" w:styleId="TypedudocumentPagedecouverture">
    <w:name w:val="Type du document (Page de couverture)"/>
    <w:basedOn w:val="Typedudocument"/>
    <w:next w:val="AccompagnantPagedecouverture"/>
    <w:rsid w:val="00E704B2"/>
  </w:style>
  <w:style w:type="paragraph" w:customStyle="1" w:styleId="AccompagnantPagedecouverture">
    <w:name w:val="Accompagnant (Page de couverture)"/>
    <w:basedOn w:val="Accompagnant"/>
    <w:next w:val="TypeacteprincipalPagedecouverture"/>
    <w:rsid w:val="00E704B2"/>
  </w:style>
  <w:style w:type="paragraph" w:customStyle="1" w:styleId="TypeacteprincipalPagedecouverture">
    <w:name w:val="Type acte principal (Page de couverture)"/>
    <w:basedOn w:val="Typeacteprincipal"/>
    <w:next w:val="ObjetacteprincipalPagedecouverture"/>
    <w:rsid w:val="00E704B2"/>
  </w:style>
  <w:style w:type="paragraph" w:customStyle="1" w:styleId="ObjetacteprincipalPagedecouverture">
    <w:name w:val="Objet acte principal (Page de couverture)"/>
    <w:basedOn w:val="Objetacteprincipal"/>
    <w:next w:val="Rfrencecroise"/>
    <w:rsid w:val="00E704B2"/>
  </w:style>
  <w:style w:type="paragraph" w:customStyle="1" w:styleId="Rfrencecroise">
    <w:name w:val="Référence croisée"/>
    <w:basedOn w:val="Normale"/>
    <w:rsid w:val="00E704B2"/>
    <w:pPr>
      <w:spacing w:after="0" w:line="240" w:lineRule="auto"/>
      <w:jc w:val="center"/>
    </w:pPr>
    <w:rPr>
      <w:rFonts w:cs="Times New Roman"/>
    </w:rPr>
  </w:style>
  <w:style w:type="paragraph" w:customStyle="1" w:styleId="Pagedecouverture">
    <w:name w:val="Page de couverture"/>
    <w:basedOn w:val="Normale"/>
    <w:next w:val="Normale"/>
    <w:rsid w:val="00E704B2"/>
    <w:pPr>
      <w:spacing w:after="0" w:line="240" w:lineRule="auto"/>
      <w:jc w:val="both"/>
    </w:pPr>
    <w:rPr>
      <w:rFonts w:cs="Times New Roman"/>
    </w:rPr>
  </w:style>
  <w:style w:type="paragraph" w:customStyle="1" w:styleId="Declassification">
    <w:name w:val="Declassification"/>
    <w:basedOn w:val="Normale"/>
    <w:next w:val="Normale"/>
    <w:rsid w:val="00E704B2"/>
    <w:pPr>
      <w:spacing w:after="0" w:line="240" w:lineRule="auto"/>
      <w:jc w:val="both"/>
    </w:pPr>
    <w:rPr>
      <w:rFonts w:cs="Times New Roman"/>
    </w:rPr>
  </w:style>
  <w:style w:type="paragraph" w:customStyle="1" w:styleId="Disclaimer">
    <w:name w:val="Disclaimer"/>
    <w:basedOn w:val="Normale"/>
    <w:rsid w:val="00E704B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Annexetitreexpos">
    <w:name w:val="Annexe titre (exposé)"/>
    <w:basedOn w:val="Normale"/>
    <w:next w:val="Normale"/>
    <w:rsid w:val="00E704B2"/>
    <w:pPr>
      <w:spacing w:before="120" w:after="120" w:line="240" w:lineRule="auto"/>
      <w:jc w:val="center"/>
    </w:pPr>
    <w:rPr>
      <w:rFonts w:cs="Times New Roman"/>
      <w:b/>
      <w:u w:val="single"/>
    </w:rPr>
  </w:style>
  <w:style w:type="paragraph" w:customStyle="1" w:styleId="Annexetitre">
    <w:name w:val="Annexe titre"/>
    <w:basedOn w:val="Normale"/>
    <w:next w:val="Normale"/>
    <w:rsid w:val="00E704B2"/>
    <w:pPr>
      <w:spacing w:before="120" w:after="120" w:line="240" w:lineRule="auto"/>
      <w:jc w:val="center"/>
    </w:pPr>
    <w:rPr>
      <w:rFonts w:cs="Times New Roman"/>
      <w:b/>
      <w:u w:val="single"/>
    </w:rPr>
  </w:style>
  <w:style w:type="paragraph" w:customStyle="1" w:styleId="Annexetitrefichefinancire">
    <w:name w:val="Annexe titre (fiche financière)"/>
    <w:basedOn w:val="Normale"/>
    <w:next w:val="Normale"/>
    <w:rsid w:val="00E704B2"/>
    <w:pPr>
      <w:spacing w:before="120" w:after="120" w:line="240" w:lineRule="auto"/>
      <w:jc w:val="center"/>
    </w:pPr>
    <w:rPr>
      <w:rFonts w:cs="Times New Roman"/>
      <w:b/>
      <w:u w:val="single"/>
    </w:rPr>
  </w:style>
  <w:style w:type="paragraph" w:customStyle="1" w:styleId="Applicationdirecte">
    <w:name w:val="Application directe"/>
    <w:basedOn w:val="Normale"/>
    <w:next w:val="Fait"/>
    <w:rsid w:val="00E704B2"/>
    <w:pPr>
      <w:spacing w:before="480" w:after="120" w:line="240" w:lineRule="auto"/>
      <w:jc w:val="both"/>
    </w:pPr>
    <w:rPr>
      <w:rFonts w:cs="Times New Roman"/>
    </w:rPr>
  </w:style>
  <w:style w:type="paragraph" w:customStyle="1" w:styleId="Fait">
    <w:name w:val="Fait à"/>
    <w:basedOn w:val="Normale"/>
    <w:next w:val="Institutionquisigne"/>
    <w:rsid w:val="00E704B2"/>
    <w:pPr>
      <w:keepNext/>
      <w:spacing w:before="120" w:after="0" w:line="240" w:lineRule="auto"/>
      <w:jc w:val="both"/>
    </w:pPr>
    <w:rPr>
      <w:rFonts w:cs="Times New Roman"/>
    </w:rPr>
  </w:style>
  <w:style w:type="paragraph" w:customStyle="1" w:styleId="Institutionquisigne">
    <w:name w:val="Institution qui signe"/>
    <w:basedOn w:val="Normale"/>
    <w:next w:val="Personnequisigne"/>
    <w:rsid w:val="00E704B2"/>
    <w:pPr>
      <w:keepNext/>
      <w:tabs>
        <w:tab w:val="left" w:pos="4252"/>
      </w:tabs>
      <w:spacing w:before="720" w:after="0" w:line="240" w:lineRule="auto"/>
      <w:jc w:val="both"/>
    </w:pPr>
    <w:rPr>
      <w:rFonts w:cs="Times New Roman"/>
      <w:i/>
    </w:rPr>
  </w:style>
  <w:style w:type="paragraph" w:customStyle="1" w:styleId="Personnequisigne">
    <w:name w:val="Personne qui signe"/>
    <w:basedOn w:val="Normale"/>
    <w:next w:val="Institutionquisigne"/>
    <w:rsid w:val="00E704B2"/>
    <w:pPr>
      <w:tabs>
        <w:tab w:val="left" w:pos="4252"/>
      </w:tabs>
      <w:spacing w:after="0" w:line="240" w:lineRule="auto"/>
    </w:pPr>
    <w:rPr>
      <w:rFonts w:cs="Times New Roman"/>
      <w:i/>
    </w:rPr>
  </w:style>
  <w:style w:type="paragraph" w:customStyle="1" w:styleId="Avertissementtitre">
    <w:name w:val="Avertissement titre"/>
    <w:basedOn w:val="Normale"/>
    <w:next w:val="Normale"/>
    <w:rsid w:val="00E704B2"/>
    <w:pPr>
      <w:keepNext/>
      <w:spacing w:before="480" w:after="120" w:line="240" w:lineRule="auto"/>
      <w:jc w:val="both"/>
    </w:pPr>
    <w:rPr>
      <w:rFonts w:cs="Times New Roman"/>
      <w:u w:val="single"/>
    </w:rPr>
  </w:style>
  <w:style w:type="paragraph" w:customStyle="1" w:styleId="Confidence">
    <w:name w:val="Confidence"/>
    <w:basedOn w:val="Normale"/>
    <w:next w:val="Normale"/>
    <w:rsid w:val="00E704B2"/>
    <w:pPr>
      <w:spacing w:before="360" w:after="120" w:line="240" w:lineRule="auto"/>
      <w:jc w:val="center"/>
    </w:pPr>
    <w:rPr>
      <w:rFonts w:cs="Times New Roman"/>
    </w:rPr>
  </w:style>
  <w:style w:type="paragraph" w:customStyle="1" w:styleId="Considrant">
    <w:name w:val="Considérant"/>
    <w:basedOn w:val="Normale"/>
    <w:rsid w:val="00E704B2"/>
    <w:pPr>
      <w:numPr>
        <w:numId w:val="21"/>
      </w:numPr>
      <w:spacing w:before="120" w:after="120" w:line="240" w:lineRule="auto"/>
      <w:jc w:val="both"/>
    </w:pPr>
    <w:rPr>
      <w:rFonts w:cs="Times New Roman"/>
    </w:rPr>
  </w:style>
  <w:style w:type="paragraph" w:customStyle="1" w:styleId="Corrigendum">
    <w:name w:val="Corrigendum"/>
    <w:basedOn w:val="Normale"/>
    <w:next w:val="Normale"/>
    <w:rsid w:val="00E704B2"/>
    <w:pPr>
      <w:spacing w:after="240" w:line="240" w:lineRule="auto"/>
    </w:pPr>
    <w:rPr>
      <w:rFonts w:cs="Times New Roman"/>
    </w:rPr>
  </w:style>
  <w:style w:type="paragraph" w:customStyle="1" w:styleId="Datedadoption">
    <w:name w:val="Date d'adoption"/>
    <w:basedOn w:val="Normale"/>
    <w:next w:val="IntrtEEE"/>
    <w:rsid w:val="00E704B2"/>
    <w:pPr>
      <w:spacing w:before="360" w:after="0" w:line="240" w:lineRule="auto"/>
      <w:jc w:val="center"/>
    </w:pPr>
    <w:rPr>
      <w:rFonts w:cs="Times New Roman"/>
      <w:b/>
    </w:rPr>
  </w:style>
  <w:style w:type="paragraph" w:customStyle="1" w:styleId="IntrtEEE">
    <w:name w:val="Intérêt EEE"/>
    <w:basedOn w:val="Languesfaisantfoi"/>
    <w:next w:val="Normale"/>
    <w:rsid w:val="00E704B2"/>
    <w:pPr>
      <w:spacing w:after="240"/>
    </w:pPr>
  </w:style>
  <w:style w:type="paragraph" w:customStyle="1" w:styleId="Languesfaisantfoi">
    <w:name w:val="Langues faisant foi"/>
    <w:basedOn w:val="Normale"/>
    <w:next w:val="Normale"/>
    <w:rsid w:val="00E704B2"/>
    <w:pPr>
      <w:spacing w:before="360" w:after="0" w:line="240" w:lineRule="auto"/>
      <w:jc w:val="center"/>
    </w:pPr>
    <w:rPr>
      <w:rFonts w:cs="Times New Roman"/>
    </w:rPr>
  </w:style>
  <w:style w:type="paragraph" w:customStyle="1" w:styleId="Exposdesmotifstitre">
    <w:name w:val="Exposé des motifs titre"/>
    <w:basedOn w:val="Normale"/>
    <w:next w:val="Normale"/>
    <w:rsid w:val="00E704B2"/>
    <w:pPr>
      <w:spacing w:before="120" w:after="120" w:line="240" w:lineRule="auto"/>
      <w:jc w:val="center"/>
    </w:pPr>
    <w:rPr>
      <w:rFonts w:cs="Times New Roman"/>
      <w:b/>
      <w:u w:val="single"/>
    </w:rPr>
  </w:style>
  <w:style w:type="paragraph" w:customStyle="1" w:styleId="Formuledadoption">
    <w:name w:val="Formule d'adoption"/>
    <w:basedOn w:val="Normale"/>
    <w:next w:val="Titrearticle"/>
    <w:rsid w:val="00E704B2"/>
    <w:pPr>
      <w:keepNext/>
      <w:spacing w:before="120" w:after="120" w:line="240" w:lineRule="auto"/>
      <w:jc w:val="both"/>
    </w:pPr>
    <w:rPr>
      <w:rFonts w:cs="Times New Roman"/>
    </w:rPr>
  </w:style>
  <w:style w:type="paragraph" w:customStyle="1" w:styleId="Institutionquiagit">
    <w:name w:val="Institution qui agit"/>
    <w:basedOn w:val="Normale"/>
    <w:next w:val="Normale"/>
    <w:rsid w:val="00E704B2"/>
    <w:pPr>
      <w:keepNext/>
      <w:spacing w:before="600" w:after="120" w:line="240" w:lineRule="auto"/>
      <w:jc w:val="both"/>
    </w:pPr>
    <w:rPr>
      <w:rFonts w:cs="Times New Roman"/>
    </w:rPr>
  </w:style>
  <w:style w:type="paragraph" w:customStyle="1" w:styleId="ManualConsidrant">
    <w:name w:val="Manual Considérant"/>
    <w:basedOn w:val="Normale"/>
    <w:rsid w:val="00E704B2"/>
    <w:pPr>
      <w:spacing w:before="120" w:after="120" w:line="240" w:lineRule="auto"/>
      <w:ind w:left="709" w:hanging="709"/>
      <w:jc w:val="both"/>
    </w:pPr>
    <w:rPr>
      <w:rFonts w:cs="Times New Roman"/>
    </w:rPr>
  </w:style>
  <w:style w:type="character" w:customStyle="1" w:styleId="Added">
    <w:name w:val="Added"/>
    <w:basedOn w:val="Carpredefinitoparagrafo"/>
    <w:rsid w:val="00E704B2"/>
    <w:rPr>
      <w:b/>
      <w:u w:val="single"/>
      <w:shd w:val="clear" w:color="auto" w:fill="auto"/>
    </w:rPr>
  </w:style>
  <w:style w:type="character" w:customStyle="1" w:styleId="Deleted">
    <w:name w:val="Deleted"/>
    <w:basedOn w:val="Carpredefinitoparagrafo"/>
    <w:rsid w:val="00E704B2"/>
    <w:rPr>
      <w:strike/>
      <w:dstrike w:val="0"/>
      <w:shd w:val="clear" w:color="auto" w:fill="auto"/>
    </w:rPr>
  </w:style>
  <w:style w:type="paragraph" w:customStyle="1" w:styleId="Address">
    <w:name w:val="Address"/>
    <w:basedOn w:val="Normale"/>
    <w:next w:val="Normale"/>
    <w:rsid w:val="00E704B2"/>
    <w:pPr>
      <w:keepLines/>
      <w:spacing w:before="120" w:after="120" w:line="360" w:lineRule="auto"/>
      <w:ind w:left="3402"/>
    </w:pPr>
    <w:rPr>
      <w:rFonts w:cs="Times New Roman"/>
    </w:rPr>
  </w:style>
  <w:style w:type="paragraph" w:customStyle="1" w:styleId="Objetexterne">
    <w:name w:val="Objet externe"/>
    <w:basedOn w:val="Normale"/>
    <w:next w:val="Normale"/>
    <w:rsid w:val="00E704B2"/>
    <w:pPr>
      <w:spacing w:before="120" w:after="120" w:line="240" w:lineRule="auto"/>
      <w:jc w:val="both"/>
    </w:pPr>
    <w:rPr>
      <w:rFonts w:cs="Times New Roman"/>
      <w:i/>
      <w:caps/>
    </w:rPr>
  </w:style>
  <w:style w:type="paragraph" w:customStyle="1" w:styleId="Supertitre">
    <w:name w:val="Supertitre"/>
    <w:basedOn w:val="Normale"/>
    <w:next w:val="Normale"/>
    <w:rsid w:val="00E704B2"/>
    <w:pPr>
      <w:spacing w:after="600" w:line="240" w:lineRule="auto"/>
      <w:jc w:val="center"/>
    </w:pPr>
    <w:rPr>
      <w:rFonts w:cs="Times New Roman"/>
      <w:b/>
    </w:rPr>
  </w:style>
  <w:style w:type="paragraph" w:customStyle="1" w:styleId="Fichefinanciretitre">
    <w:name w:val="Fiche financière titre"/>
    <w:basedOn w:val="Normale"/>
    <w:next w:val="Normale"/>
    <w:rsid w:val="00E704B2"/>
    <w:pPr>
      <w:spacing w:before="120" w:after="120" w:line="240" w:lineRule="auto"/>
      <w:jc w:val="center"/>
    </w:pPr>
    <w:rPr>
      <w:rFonts w:cs="Times New Roman"/>
      <w:b/>
      <w:u w:val="single"/>
    </w:rPr>
  </w:style>
  <w:style w:type="paragraph" w:customStyle="1" w:styleId="DatedadoptionPagedecouverture">
    <w:name w:val="Date d'adoption (Page de couverture)"/>
    <w:basedOn w:val="Datedadoption"/>
    <w:next w:val="IntrtEEEPagedecouverture"/>
    <w:rsid w:val="00E704B2"/>
  </w:style>
  <w:style w:type="paragraph" w:customStyle="1" w:styleId="IntrtEEEPagedecouverture">
    <w:name w:val="Intérêt EEE (Page de couverture)"/>
    <w:basedOn w:val="IntrtEEE"/>
    <w:next w:val="Rfrencecroise"/>
    <w:rsid w:val="00E704B2"/>
  </w:style>
  <w:style w:type="paragraph" w:customStyle="1" w:styleId="RfrenceinterinstitutionnellePagedecouverture">
    <w:name w:val="Référence interinstitutionnelle (Page de couverture)"/>
    <w:basedOn w:val="Rfrenceinterinstitutionnelle"/>
    <w:next w:val="Confidentialit"/>
    <w:rsid w:val="00E704B2"/>
  </w:style>
  <w:style w:type="paragraph" w:customStyle="1" w:styleId="StatutPagedecouverture">
    <w:name w:val="Statut (Page de couverture)"/>
    <w:basedOn w:val="Statut"/>
    <w:next w:val="TypedudocumentPagedecouverture"/>
    <w:rsid w:val="00E704B2"/>
  </w:style>
  <w:style w:type="paragraph" w:customStyle="1" w:styleId="Volume">
    <w:name w:val="Volume"/>
    <w:basedOn w:val="Normale"/>
    <w:next w:val="Confidentialit"/>
    <w:rsid w:val="00E704B2"/>
    <w:pPr>
      <w:spacing w:after="240" w:line="240" w:lineRule="auto"/>
      <w:ind w:left="5103"/>
    </w:pPr>
    <w:rPr>
      <w:rFonts w:cs="Times New Roman"/>
    </w:rPr>
  </w:style>
  <w:style w:type="paragraph" w:customStyle="1" w:styleId="LanguesfaisantfoiPagedecouverture">
    <w:name w:val="Langues faisant foi (Page de couverture)"/>
    <w:basedOn w:val="Normale"/>
    <w:next w:val="Normale"/>
    <w:rsid w:val="00E704B2"/>
    <w:pPr>
      <w:spacing w:before="360" w:after="0" w:line="240" w:lineRule="auto"/>
      <w:jc w:val="center"/>
    </w:pPr>
    <w:rPr>
      <w:rFonts w:cs="Times New Roman"/>
    </w:rPr>
  </w:style>
  <w:style w:type="character" w:customStyle="1" w:styleId="glossary">
    <w:name w:val="glossary"/>
    <w:rsid w:val="00E704B2"/>
  </w:style>
  <w:style w:type="character" w:customStyle="1" w:styleId="Bodytext2">
    <w:name w:val="Body text (2)"/>
    <w:basedOn w:val="Carpredefinitoparagrafo"/>
    <w:rsid w:val="00E704B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2Italic">
    <w:name w:val="Body text (2) + Italic"/>
    <w:basedOn w:val="Carpredefinitoparagrafo"/>
    <w:rsid w:val="00E704B2"/>
    <w:rPr>
      <w:rFonts w:ascii="Times New Roman" w:eastAsia="Times New Roman" w:hAnsi="Times New Roman" w:cs="Times New Roman"/>
      <w:b w:val="0"/>
      <w:bCs w:val="0"/>
      <w:i/>
      <w:iCs/>
      <w:smallCaps w:val="0"/>
      <w:strike w:val="0"/>
      <w:color w:val="000000"/>
      <w:spacing w:val="0"/>
      <w:w w:val="100"/>
      <w:position w:val="0"/>
      <w:sz w:val="24"/>
      <w:szCs w:val="24"/>
      <w:u w:val="none"/>
      <w:lang w:val="fr-FR" w:eastAsia="fr-FR" w:bidi="fr-FR"/>
    </w:rPr>
  </w:style>
  <w:style w:type="paragraph" w:styleId="Titolosommario">
    <w:name w:val="TOC Heading"/>
    <w:basedOn w:val="Titolo1"/>
    <w:next w:val="Normale"/>
    <w:uiPriority w:val="39"/>
    <w:unhideWhenUsed/>
    <w:qFormat/>
    <w:rsid w:val="00E704B2"/>
    <w:pPr>
      <w:keepLines/>
      <w:numPr>
        <w:numId w:val="0"/>
      </w:numPr>
      <w:spacing w:before="240" w:after="0" w:line="259" w:lineRule="auto"/>
      <w:jc w:val="left"/>
      <w:outlineLvl w:val="9"/>
    </w:pPr>
    <w:rPr>
      <w:rFonts w:asciiTheme="majorHAnsi" w:hAnsiTheme="majorHAnsi" w:cstheme="majorBidi"/>
      <w:b w:val="0"/>
      <w:bCs w:val="0"/>
      <w:smallCaps w:val="0"/>
      <w:color w:val="2E74B5" w:themeColor="accent1" w:themeShade="BF"/>
      <w:sz w:val="32"/>
      <w:szCs w:val="32"/>
    </w:rPr>
  </w:style>
  <w:style w:type="paragraph" w:styleId="Sommario2">
    <w:name w:val="toc 2"/>
    <w:basedOn w:val="Normale"/>
    <w:next w:val="Normale"/>
    <w:autoRedefine/>
    <w:uiPriority w:val="39"/>
    <w:unhideWhenUsed/>
    <w:rsid w:val="00F445C0"/>
    <w:pPr>
      <w:spacing w:before="120" w:after="100" w:line="240" w:lineRule="auto"/>
      <w:ind w:left="216"/>
      <w:jc w:val="both"/>
    </w:pPr>
    <w:rPr>
      <w:rFonts w:cs="Times New Roman"/>
    </w:rPr>
  </w:style>
  <w:style w:type="paragraph" w:styleId="Sommario3">
    <w:name w:val="toc 3"/>
    <w:basedOn w:val="Normale"/>
    <w:next w:val="Normale"/>
    <w:autoRedefine/>
    <w:uiPriority w:val="39"/>
    <w:unhideWhenUsed/>
    <w:rsid w:val="00F464AB"/>
    <w:pPr>
      <w:spacing w:before="120" w:after="120" w:line="240" w:lineRule="auto"/>
      <w:ind w:left="446"/>
      <w:jc w:val="both"/>
    </w:pPr>
    <w:rPr>
      <w:rFonts w:cs="Times New Roman"/>
    </w:rPr>
  </w:style>
  <w:style w:type="paragraph" w:styleId="Sommario4">
    <w:name w:val="toc 4"/>
    <w:basedOn w:val="Normale"/>
    <w:next w:val="Normale"/>
    <w:autoRedefine/>
    <w:uiPriority w:val="39"/>
    <w:unhideWhenUsed/>
    <w:rsid w:val="00E704B2"/>
    <w:pPr>
      <w:spacing w:after="100"/>
      <w:ind w:left="660"/>
    </w:pPr>
    <w:rPr>
      <w:rFonts w:eastAsiaTheme="minorEastAsia"/>
    </w:rPr>
  </w:style>
  <w:style w:type="paragraph" w:styleId="Sommario5">
    <w:name w:val="toc 5"/>
    <w:basedOn w:val="Normale"/>
    <w:next w:val="Normale"/>
    <w:autoRedefine/>
    <w:uiPriority w:val="39"/>
    <w:unhideWhenUsed/>
    <w:rsid w:val="00E704B2"/>
    <w:pPr>
      <w:spacing w:after="100"/>
      <w:ind w:left="880"/>
    </w:pPr>
    <w:rPr>
      <w:rFonts w:eastAsiaTheme="minorEastAsia"/>
    </w:rPr>
  </w:style>
  <w:style w:type="paragraph" w:styleId="Sommario6">
    <w:name w:val="toc 6"/>
    <w:basedOn w:val="Normale"/>
    <w:next w:val="Normale"/>
    <w:autoRedefine/>
    <w:uiPriority w:val="39"/>
    <w:unhideWhenUsed/>
    <w:rsid w:val="00E704B2"/>
    <w:pPr>
      <w:spacing w:after="100"/>
      <w:ind w:left="1100"/>
    </w:pPr>
    <w:rPr>
      <w:rFonts w:eastAsiaTheme="minorEastAsia"/>
    </w:rPr>
  </w:style>
  <w:style w:type="paragraph" w:styleId="Sommario7">
    <w:name w:val="toc 7"/>
    <w:basedOn w:val="Normale"/>
    <w:next w:val="Normale"/>
    <w:autoRedefine/>
    <w:uiPriority w:val="39"/>
    <w:unhideWhenUsed/>
    <w:rsid w:val="00E704B2"/>
    <w:pPr>
      <w:spacing w:after="100"/>
      <w:ind w:left="1320"/>
    </w:pPr>
    <w:rPr>
      <w:rFonts w:eastAsiaTheme="minorEastAsia"/>
    </w:rPr>
  </w:style>
  <w:style w:type="paragraph" w:styleId="Sommario8">
    <w:name w:val="toc 8"/>
    <w:basedOn w:val="Normale"/>
    <w:next w:val="Normale"/>
    <w:autoRedefine/>
    <w:uiPriority w:val="39"/>
    <w:unhideWhenUsed/>
    <w:rsid w:val="00E704B2"/>
    <w:pPr>
      <w:spacing w:after="100"/>
      <w:ind w:left="1540"/>
    </w:pPr>
    <w:rPr>
      <w:rFonts w:eastAsiaTheme="minorEastAsia"/>
    </w:rPr>
  </w:style>
  <w:style w:type="paragraph" w:styleId="Sommario9">
    <w:name w:val="toc 9"/>
    <w:basedOn w:val="Normale"/>
    <w:next w:val="Normale"/>
    <w:autoRedefine/>
    <w:uiPriority w:val="39"/>
    <w:unhideWhenUsed/>
    <w:rsid w:val="00E704B2"/>
    <w:pPr>
      <w:spacing w:after="100"/>
      <w:ind w:left="1760"/>
    </w:pPr>
    <w:rPr>
      <w:rFonts w:eastAsiaTheme="minorEastAsia"/>
    </w:rPr>
  </w:style>
  <w:style w:type="paragraph" w:styleId="Revisione">
    <w:name w:val="Revision"/>
    <w:hidden/>
    <w:uiPriority w:val="99"/>
    <w:semiHidden/>
    <w:rsid w:val="00E704B2"/>
    <w:pPr>
      <w:spacing w:after="0" w:line="240" w:lineRule="auto"/>
    </w:pPr>
    <w:rPr>
      <w:rFonts w:ascii="Times New Roman" w:hAnsi="Times New Roman" w:cs="Times New Roman"/>
      <w:sz w:val="24"/>
    </w:rPr>
  </w:style>
  <w:style w:type="table" w:customStyle="1" w:styleId="TableGrid1">
    <w:name w:val="Table Grid1"/>
    <w:basedOn w:val="Tabellanormale"/>
    <w:next w:val="Grigliatabella"/>
    <w:uiPriority w:val="5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lanormale"/>
    <w:next w:val="Grigliatabella"/>
    <w:uiPriority w:val="59"/>
    <w:rsid w:val="00E70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E704B2"/>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E704B2"/>
    <w:rPr>
      <w:rFonts w:asciiTheme="majorHAnsi" w:eastAsiaTheme="majorEastAsia" w:hAnsiTheme="majorHAnsi" w:cstheme="majorBidi"/>
      <w:color w:val="323E4F" w:themeColor="text2" w:themeShade="BF"/>
      <w:spacing w:val="5"/>
      <w:kern w:val="28"/>
      <w:sz w:val="52"/>
      <w:szCs w:val="52"/>
      <w:lang w:val="fr-FR"/>
    </w:rPr>
  </w:style>
  <w:style w:type="paragraph" w:styleId="Sottotitolo">
    <w:name w:val="Subtitle"/>
    <w:basedOn w:val="Normale"/>
    <w:next w:val="Normale"/>
    <w:link w:val="SottotitoloCarattere"/>
    <w:uiPriority w:val="11"/>
    <w:qFormat/>
    <w:rsid w:val="00E704B2"/>
    <w:pPr>
      <w:numPr>
        <w:ilvl w:val="1"/>
      </w:numPr>
      <w:spacing w:before="120" w:after="120" w:line="240" w:lineRule="auto"/>
      <w:jc w:val="both"/>
    </w:pPr>
    <w:rPr>
      <w:rFonts w:asciiTheme="majorHAnsi" w:eastAsiaTheme="majorEastAsia" w:hAnsiTheme="majorHAnsi" w:cstheme="majorBidi"/>
      <w:i/>
      <w:iCs/>
      <w:color w:val="5B9BD5" w:themeColor="accent1"/>
      <w:spacing w:val="15"/>
      <w:szCs w:val="24"/>
    </w:rPr>
  </w:style>
  <w:style w:type="character" w:customStyle="1" w:styleId="SottotitoloCarattere">
    <w:name w:val="Sottotitolo Carattere"/>
    <w:basedOn w:val="Carpredefinitoparagrafo"/>
    <w:link w:val="Sottotitolo"/>
    <w:uiPriority w:val="11"/>
    <w:rsid w:val="00E704B2"/>
    <w:rPr>
      <w:rFonts w:asciiTheme="majorHAnsi" w:eastAsiaTheme="majorEastAsia" w:hAnsiTheme="majorHAnsi" w:cstheme="majorBidi"/>
      <w:i/>
      <w:iCs/>
      <w:color w:val="5B9BD5" w:themeColor="accent1"/>
      <w:spacing w:val="15"/>
      <w:sz w:val="24"/>
      <w:szCs w:val="24"/>
      <w:lang w:val="fr-FR"/>
    </w:rPr>
  </w:style>
  <w:style w:type="character" w:styleId="Enfasidelicata">
    <w:name w:val="Subtle Emphasis"/>
    <w:basedOn w:val="Carpredefinitoparagrafo"/>
    <w:uiPriority w:val="19"/>
    <w:qFormat/>
    <w:rsid w:val="00E704B2"/>
    <w:rPr>
      <w:i/>
      <w:iCs/>
      <w:color w:val="808080" w:themeColor="text1" w:themeTint="7F"/>
    </w:rPr>
  </w:style>
  <w:style w:type="character" w:styleId="Enfasiintensa">
    <w:name w:val="Intense Emphasis"/>
    <w:basedOn w:val="Carpredefinitoparagrafo"/>
    <w:uiPriority w:val="21"/>
    <w:qFormat/>
    <w:rsid w:val="00E704B2"/>
    <w:rPr>
      <w:b/>
      <w:bCs/>
      <w:i/>
      <w:iCs/>
      <w:color w:val="5B9BD5" w:themeColor="accent1"/>
    </w:rPr>
  </w:style>
  <w:style w:type="numbering" w:customStyle="1" w:styleId="NoList2">
    <w:name w:val="No List2"/>
    <w:next w:val="Nessunelenco"/>
    <w:uiPriority w:val="99"/>
    <w:semiHidden/>
    <w:unhideWhenUsed/>
    <w:rsid w:val="00BB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81034">
      <w:bodyDiv w:val="1"/>
      <w:marLeft w:val="0"/>
      <w:marRight w:val="0"/>
      <w:marTop w:val="0"/>
      <w:marBottom w:val="0"/>
      <w:divBdr>
        <w:top w:val="none" w:sz="0" w:space="0" w:color="auto"/>
        <w:left w:val="none" w:sz="0" w:space="0" w:color="auto"/>
        <w:bottom w:val="none" w:sz="0" w:space="0" w:color="auto"/>
        <w:right w:val="none" w:sz="0" w:space="0" w:color="auto"/>
      </w:divBdr>
    </w:div>
    <w:div w:id="580526975">
      <w:bodyDiv w:val="1"/>
      <w:marLeft w:val="0"/>
      <w:marRight w:val="0"/>
      <w:marTop w:val="0"/>
      <w:marBottom w:val="0"/>
      <w:divBdr>
        <w:top w:val="none" w:sz="0" w:space="0" w:color="auto"/>
        <w:left w:val="none" w:sz="0" w:space="0" w:color="auto"/>
        <w:bottom w:val="none" w:sz="0" w:space="0" w:color="auto"/>
        <w:right w:val="none" w:sz="0" w:space="0" w:color="auto"/>
      </w:divBdr>
    </w:div>
    <w:div w:id="628709431">
      <w:bodyDiv w:val="1"/>
      <w:marLeft w:val="0"/>
      <w:marRight w:val="0"/>
      <w:marTop w:val="0"/>
      <w:marBottom w:val="0"/>
      <w:divBdr>
        <w:top w:val="none" w:sz="0" w:space="0" w:color="auto"/>
        <w:left w:val="none" w:sz="0" w:space="0" w:color="auto"/>
        <w:bottom w:val="none" w:sz="0" w:space="0" w:color="auto"/>
        <w:right w:val="none" w:sz="0" w:space="0" w:color="auto"/>
      </w:divBdr>
    </w:div>
    <w:div w:id="1126041066">
      <w:bodyDiv w:val="1"/>
      <w:marLeft w:val="0"/>
      <w:marRight w:val="0"/>
      <w:marTop w:val="0"/>
      <w:marBottom w:val="0"/>
      <w:divBdr>
        <w:top w:val="none" w:sz="0" w:space="0" w:color="auto"/>
        <w:left w:val="none" w:sz="0" w:space="0" w:color="auto"/>
        <w:bottom w:val="none" w:sz="0" w:space="0" w:color="auto"/>
        <w:right w:val="none" w:sz="0" w:space="0" w:color="auto"/>
      </w:divBdr>
    </w:div>
    <w:div w:id="1436250245">
      <w:bodyDiv w:val="1"/>
      <w:marLeft w:val="0"/>
      <w:marRight w:val="0"/>
      <w:marTop w:val="0"/>
      <w:marBottom w:val="0"/>
      <w:divBdr>
        <w:top w:val="none" w:sz="0" w:space="0" w:color="auto"/>
        <w:left w:val="none" w:sz="0" w:space="0" w:color="auto"/>
        <w:bottom w:val="none" w:sz="0" w:space="0" w:color="auto"/>
        <w:right w:val="none" w:sz="0" w:space="0" w:color="auto"/>
      </w:divBdr>
    </w:div>
    <w:div w:id="1584605292">
      <w:bodyDiv w:val="1"/>
      <w:marLeft w:val="0"/>
      <w:marRight w:val="0"/>
      <w:marTop w:val="0"/>
      <w:marBottom w:val="0"/>
      <w:divBdr>
        <w:top w:val="none" w:sz="0" w:space="0" w:color="auto"/>
        <w:left w:val="none" w:sz="0" w:space="0" w:color="auto"/>
        <w:bottom w:val="none" w:sz="0" w:space="0" w:color="auto"/>
        <w:right w:val="none" w:sz="0" w:space="0" w:color="auto"/>
      </w:divBdr>
    </w:div>
    <w:div w:id="1881552751">
      <w:bodyDiv w:val="1"/>
      <w:marLeft w:val="0"/>
      <w:marRight w:val="0"/>
      <w:marTop w:val="0"/>
      <w:marBottom w:val="0"/>
      <w:divBdr>
        <w:top w:val="none" w:sz="0" w:space="0" w:color="auto"/>
        <w:left w:val="none" w:sz="0" w:space="0" w:color="auto"/>
        <w:bottom w:val="none" w:sz="0" w:space="0" w:color="auto"/>
        <w:right w:val="none" w:sz="0" w:space="0" w:color="auto"/>
      </w:divBdr>
    </w:div>
    <w:div w:id="2018723774">
      <w:bodyDiv w:val="1"/>
      <w:marLeft w:val="0"/>
      <w:marRight w:val="0"/>
      <w:marTop w:val="0"/>
      <w:marBottom w:val="0"/>
      <w:divBdr>
        <w:top w:val="none" w:sz="0" w:space="0" w:color="auto"/>
        <w:left w:val="none" w:sz="0" w:space="0" w:color="auto"/>
        <w:bottom w:val="none" w:sz="0" w:space="0" w:color="auto"/>
        <w:right w:val="none" w:sz="0" w:space="0" w:color="auto"/>
      </w:divBdr>
    </w:div>
    <w:div w:id="20495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fac.org/publications-resources/2018-handbook-international-quality-control-auditing-review-other-assurance" TargetMode="External"/><Relationship Id="rId13" Type="http://schemas.openxmlformats.org/officeDocument/2006/relationships/hyperlink" Target="http://eur-lex.europa.eu/LexUriServ/LexUriServ.do?uri=OJ:C:2008:025:0001:0012:FR: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budget/library/biblio/publications/finreg/KV3112815FRC.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xUriServ/LexUriServ.do?uri=CONSLEG:1996R1257:20090420:FR:PDF" TargetMode="External"/><Relationship Id="rId5" Type="http://schemas.openxmlformats.org/officeDocument/2006/relationships/webSettings" Target="webSettings.xml"/><Relationship Id="rId15" Type="http://schemas.openxmlformats.org/officeDocument/2006/relationships/hyperlink" Target="https://www.oecd.org/fr/cad/evaluation/2668696.pdf" TargetMode="External"/><Relationship Id="rId10" Type="http://schemas.openxmlformats.org/officeDocument/2006/relationships/hyperlink" Target="http://www.ifac.org/publications-resources/2018-handbook-international-code-ethics-professional-accountants" TargetMode="External"/><Relationship Id="rId4" Type="http://schemas.openxmlformats.org/officeDocument/2006/relationships/settings" Target="settings.xml"/><Relationship Id="rId9" Type="http://schemas.openxmlformats.org/officeDocument/2006/relationships/hyperlink" Target="http://www.ifac.org/publications-resources/2018-handbook-international-quality-control-auditing-review-other-assurance" TargetMode="External"/><Relationship Id="rId14" Type="http://schemas.openxmlformats.org/officeDocument/2006/relationships/hyperlink" Target="http://www.sphereproject.org/abou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fr/cad/evaluation/2668696.pdf" TargetMode="External"/><Relationship Id="rId3" Type="http://schemas.openxmlformats.org/officeDocument/2006/relationships/hyperlink" Target="https://ec.europa.eu/echo/factsheets_fr" TargetMode="External"/><Relationship Id="rId7" Type="http://schemas.openxmlformats.org/officeDocument/2006/relationships/hyperlink" Target="https://corehumanitarianstandard.org/" TargetMode="External"/><Relationship Id="rId2" Type="http://schemas.openxmlformats.org/officeDocument/2006/relationships/hyperlink" Target="https://ec.europa.eu/info/publications/financial-regulations_fr" TargetMode="External"/><Relationship Id="rId1" Type="http://schemas.openxmlformats.org/officeDocument/2006/relationships/hyperlink" Target="http://hqai.org/Organisations/" TargetMode="External"/><Relationship Id="rId6" Type="http://schemas.openxmlformats.org/officeDocument/2006/relationships/hyperlink" Target="https://spherestandards.org/fr/manuel-2018/" TargetMode="External"/><Relationship Id="rId5" Type="http://schemas.openxmlformats.org/officeDocument/2006/relationships/hyperlink" Target="https://eur-lex.europa.eu/legal-content/FR/TXT/?uri=CELEX:42008X0130(01)" TargetMode="External"/><Relationship Id="rId10" Type="http://schemas.openxmlformats.org/officeDocument/2006/relationships/hyperlink" Target="https://ec.europa.eu/environment/gpp/index_en.htm" TargetMode="External"/><Relationship Id="rId4" Type="http://schemas.openxmlformats.org/officeDocument/2006/relationships/hyperlink" Target="https://ec.europa.eu/echo/index_fr" TargetMode="External"/><Relationship Id="rId9" Type="http://schemas.openxmlformats.org/officeDocument/2006/relationships/hyperlink" Target="https://www.coso.org/Pages/guidanc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59C0003-63D9-4A66-9054-E860B255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8336</Words>
  <Characters>47517</Characters>
  <Application>Microsoft Office Word</Application>
  <DocSecurity>0</DocSecurity>
  <Lines>395</Lines>
  <Paragraphs>111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CORRALES JIMENEZ Maria (ECHO)</dc:creator>
  <cp:lastModifiedBy>puntosud</cp:lastModifiedBy>
  <cp:revision>2</cp:revision>
  <cp:lastPrinted>2019-07-08T21:27:00Z</cp:lastPrinted>
  <dcterms:created xsi:type="dcterms:W3CDTF">2020-01-28T14:01:00Z</dcterms:created>
  <dcterms:modified xsi:type="dcterms:W3CDTF">2020-01-28T14:01:00Z</dcterms:modified>
</cp:coreProperties>
</file>